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91D4" w14:textId="77777777" w:rsidR="003B272D" w:rsidRPr="0061626E" w:rsidRDefault="003B272D" w:rsidP="003B272D">
      <w:pPr>
        <w:spacing w:line="360" w:lineRule="auto"/>
        <w:jc w:val="center"/>
        <w:outlineLvl w:val="0"/>
        <w:rPr>
          <w:b/>
          <w:sz w:val="36"/>
          <w:szCs w:val="36"/>
        </w:rPr>
      </w:pPr>
      <w:r w:rsidRPr="0061626E">
        <w:rPr>
          <w:b/>
          <w:sz w:val="36"/>
          <w:szCs w:val="36"/>
        </w:rPr>
        <w:t>第五章</w:t>
      </w:r>
      <w:r w:rsidRPr="0061626E">
        <w:rPr>
          <w:b/>
          <w:sz w:val="36"/>
          <w:szCs w:val="36"/>
        </w:rPr>
        <w:t xml:space="preserve">   </w:t>
      </w:r>
      <w:r w:rsidRPr="0061626E">
        <w:rPr>
          <w:b/>
          <w:sz w:val="36"/>
          <w:szCs w:val="36"/>
        </w:rPr>
        <w:t>采购需求</w:t>
      </w:r>
    </w:p>
    <w:p w14:paraId="37975034" w14:textId="77777777" w:rsidR="003B272D" w:rsidRPr="0061626E" w:rsidRDefault="003B272D" w:rsidP="003B272D">
      <w:pPr>
        <w:spacing w:line="360" w:lineRule="auto"/>
        <w:rPr>
          <w:b/>
          <w:bCs/>
          <w:sz w:val="24"/>
        </w:rPr>
      </w:pPr>
      <w:r w:rsidRPr="0061626E">
        <w:rPr>
          <w:b/>
          <w:bCs/>
          <w:sz w:val="24"/>
        </w:rPr>
        <w:t>一、项目概况</w:t>
      </w:r>
    </w:p>
    <w:p w14:paraId="42EC9ABB" w14:textId="77777777" w:rsidR="003B272D" w:rsidRPr="0061626E" w:rsidRDefault="003B272D" w:rsidP="003B272D">
      <w:pPr>
        <w:pStyle w:val="a0"/>
        <w:rPr>
          <w:rFonts w:ascii="Times New Roman" w:hAnsi="Times New Roman" w:cs="Times New Roman"/>
          <w:sz w:val="24"/>
          <w:szCs w:val="24"/>
        </w:rPr>
      </w:pPr>
      <w:r w:rsidRPr="0061626E">
        <w:rPr>
          <w:rFonts w:ascii="Times New Roman" w:hAnsi="Times New Roman" w:cs="Times New Roman"/>
          <w:sz w:val="24"/>
          <w:szCs w:val="24"/>
        </w:rPr>
        <w:t>1</w:t>
      </w:r>
      <w:r w:rsidRPr="0061626E">
        <w:rPr>
          <w:rFonts w:ascii="Times New Roman" w:hAnsi="Times New Roman" w:cs="Times New Roman"/>
          <w:sz w:val="24"/>
          <w:szCs w:val="24"/>
        </w:rPr>
        <w:t>、采购需求：华北电力大学食堂及校内商户每日产生大量</w:t>
      </w:r>
      <w:proofErr w:type="gramStart"/>
      <w:r w:rsidRPr="0061626E">
        <w:rPr>
          <w:rFonts w:ascii="Times New Roman" w:hAnsi="Times New Roman" w:cs="Times New Roman"/>
          <w:sz w:val="24"/>
          <w:szCs w:val="24"/>
        </w:rPr>
        <w:t>厨余垃圾</w:t>
      </w:r>
      <w:proofErr w:type="gramEnd"/>
      <w:r w:rsidRPr="0061626E">
        <w:rPr>
          <w:rFonts w:ascii="Times New Roman" w:hAnsi="Times New Roman" w:cs="Times New Roman"/>
          <w:sz w:val="24"/>
          <w:szCs w:val="24"/>
        </w:rPr>
        <w:t>，需由专业公司提供</w:t>
      </w:r>
      <w:proofErr w:type="gramStart"/>
      <w:r w:rsidRPr="0061626E">
        <w:rPr>
          <w:rFonts w:ascii="Times New Roman" w:hAnsi="Times New Roman" w:cs="Times New Roman"/>
          <w:sz w:val="24"/>
          <w:szCs w:val="24"/>
        </w:rPr>
        <w:t>厨余垃圾</w:t>
      </w:r>
      <w:proofErr w:type="gramEnd"/>
      <w:r w:rsidRPr="0061626E">
        <w:rPr>
          <w:rFonts w:ascii="Times New Roman" w:hAnsi="Times New Roman" w:cs="Times New Roman"/>
          <w:sz w:val="24"/>
          <w:szCs w:val="24"/>
        </w:rPr>
        <w:t>的清运、消纳服务，供应商应按北京市及</w:t>
      </w:r>
      <w:proofErr w:type="gramStart"/>
      <w:r w:rsidRPr="0061626E">
        <w:rPr>
          <w:rFonts w:ascii="Times New Roman" w:hAnsi="Times New Roman" w:cs="Times New Roman"/>
          <w:sz w:val="24"/>
          <w:szCs w:val="24"/>
        </w:rPr>
        <w:t>昌平区对厨余垃圾</w:t>
      </w:r>
      <w:proofErr w:type="gramEnd"/>
      <w:r w:rsidRPr="0061626E">
        <w:rPr>
          <w:rFonts w:ascii="Times New Roman" w:hAnsi="Times New Roman" w:cs="Times New Roman"/>
          <w:sz w:val="24"/>
          <w:szCs w:val="24"/>
        </w:rPr>
        <w:t>的管理规定及时足量的清运合同期内我校每日产生的所有</w:t>
      </w:r>
      <w:proofErr w:type="gramStart"/>
      <w:r w:rsidRPr="0061626E">
        <w:rPr>
          <w:rFonts w:ascii="Times New Roman" w:hAnsi="Times New Roman" w:cs="Times New Roman"/>
          <w:sz w:val="24"/>
          <w:szCs w:val="24"/>
        </w:rPr>
        <w:t>厨余垃圾</w:t>
      </w:r>
      <w:proofErr w:type="gramEnd"/>
      <w:r w:rsidRPr="0061626E">
        <w:rPr>
          <w:rFonts w:ascii="Times New Roman" w:hAnsi="Times New Roman" w:cs="Times New Roman"/>
          <w:sz w:val="24"/>
          <w:szCs w:val="24"/>
        </w:rPr>
        <w:t>，并</w:t>
      </w:r>
      <w:proofErr w:type="gramStart"/>
      <w:r w:rsidRPr="0061626E">
        <w:rPr>
          <w:rFonts w:ascii="Times New Roman" w:hAnsi="Times New Roman" w:cs="Times New Roman"/>
          <w:sz w:val="24"/>
          <w:szCs w:val="24"/>
        </w:rPr>
        <w:t>交专业</w:t>
      </w:r>
      <w:proofErr w:type="gramEnd"/>
      <w:r w:rsidRPr="0061626E">
        <w:rPr>
          <w:rFonts w:ascii="Times New Roman" w:hAnsi="Times New Roman" w:cs="Times New Roman"/>
          <w:sz w:val="24"/>
          <w:szCs w:val="24"/>
        </w:rPr>
        <w:t>处理机构进行合</w:t>
      </w:r>
      <w:proofErr w:type="gramStart"/>
      <w:r w:rsidRPr="0061626E">
        <w:rPr>
          <w:rFonts w:ascii="Times New Roman" w:hAnsi="Times New Roman" w:cs="Times New Roman"/>
          <w:sz w:val="24"/>
          <w:szCs w:val="24"/>
        </w:rPr>
        <w:t>规</w:t>
      </w:r>
      <w:proofErr w:type="gramEnd"/>
      <w:r w:rsidRPr="0061626E">
        <w:rPr>
          <w:rFonts w:ascii="Times New Roman" w:hAnsi="Times New Roman" w:cs="Times New Roman"/>
          <w:sz w:val="24"/>
          <w:szCs w:val="24"/>
        </w:rPr>
        <w:t>处理。</w:t>
      </w:r>
    </w:p>
    <w:p w14:paraId="09F8C87C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2</w:t>
      </w:r>
      <w:r w:rsidRPr="0061626E">
        <w:rPr>
          <w:sz w:val="24"/>
        </w:rPr>
        <w:t>、预算金额：</w:t>
      </w:r>
      <w:r w:rsidRPr="0061626E">
        <w:rPr>
          <w:sz w:val="24"/>
        </w:rPr>
        <w:t>60</w:t>
      </w:r>
      <w:r w:rsidRPr="0061626E">
        <w:rPr>
          <w:sz w:val="24"/>
        </w:rPr>
        <w:t>万元</w:t>
      </w:r>
      <w:r w:rsidRPr="0061626E">
        <w:rPr>
          <w:sz w:val="24"/>
        </w:rPr>
        <w:t>/</w:t>
      </w:r>
      <w:r w:rsidRPr="0061626E">
        <w:rPr>
          <w:sz w:val="24"/>
        </w:rPr>
        <w:t>两年。</w:t>
      </w:r>
    </w:p>
    <w:p w14:paraId="282FFAA4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3</w:t>
      </w:r>
      <w:r w:rsidRPr="0061626E">
        <w:rPr>
          <w:sz w:val="24"/>
        </w:rPr>
        <w:t>、清运量：预计</w:t>
      </w:r>
      <w:r w:rsidRPr="0061626E">
        <w:rPr>
          <w:sz w:val="24"/>
        </w:rPr>
        <w:t>9300</w:t>
      </w:r>
      <w:r w:rsidRPr="0061626E">
        <w:rPr>
          <w:sz w:val="24"/>
        </w:rPr>
        <w:t>桶（</w:t>
      </w:r>
      <w:r w:rsidRPr="0061626E">
        <w:rPr>
          <w:sz w:val="24"/>
        </w:rPr>
        <w:t>120</w:t>
      </w:r>
      <w:r w:rsidRPr="0061626E">
        <w:rPr>
          <w:sz w:val="24"/>
        </w:rPr>
        <w:t>升）</w:t>
      </w:r>
      <w:r w:rsidRPr="0061626E">
        <w:rPr>
          <w:sz w:val="24"/>
        </w:rPr>
        <w:t>/</w:t>
      </w:r>
      <w:r w:rsidRPr="0061626E">
        <w:rPr>
          <w:sz w:val="24"/>
        </w:rPr>
        <w:t>年。以实际数量为准，日产日清，最终结算总金额不超过供应商响应总价。</w:t>
      </w:r>
    </w:p>
    <w:p w14:paraId="53AF24E4" w14:textId="77777777" w:rsidR="003B272D" w:rsidRPr="0061626E" w:rsidRDefault="003B272D" w:rsidP="003B272D">
      <w:pPr>
        <w:pStyle w:val="a0"/>
        <w:rPr>
          <w:rFonts w:ascii="Times New Roman" w:hAnsi="Times New Roman" w:cs="Times New Roman"/>
          <w:b/>
          <w:bCs/>
          <w:sz w:val="24"/>
          <w:szCs w:val="24"/>
        </w:rPr>
      </w:pPr>
      <w:r w:rsidRPr="0061626E">
        <w:rPr>
          <w:rFonts w:ascii="Times New Roman" w:hAnsi="Times New Roman" w:cs="Times New Roman"/>
          <w:b/>
          <w:bCs/>
          <w:sz w:val="24"/>
          <w:szCs w:val="24"/>
        </w:rPr>
        <w:t>二、服务要求</w:t>
      </w:r>
    </w:p>
    <w:p w14:paraId="01272B54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（一）清理收集技术要求</w:t>
      </w:r>
    </w:p>
    <w:p w14:paraId="56B5E997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1. </w:t>
      </w:r>
      <w:r w:rsidRPr="0061626E">
        <w:rPr>
          <w:sz w:val="24"/>
        </w:rPr>
        <w:t>收集点设置：需根据采购人食堂分布设置固定收集点，采购人已为每个收集点配备密闭式</w:t>
      </w:r>
      <w:proofErr w:type="gramStart"/>
      <w:r w:rsidRPr="0061626E">
        <w:rPr>
          <w:sz w:val="24"/>
        </w:rPr>
        <w:t>厨余垃圾</w:t>
      </w:r>
      <w:proofErr w:type="gramEnd"/>
      <w:r w:rsidRPr="0061626E">
        <w:rPr>
          <w:sz w:val="24"/>
        </w:rPr>
        <w:t>专用收集桶（容积</w:t>
      </w:r>
      <w:r w:rsidRPr="0061626E">
        <w:rPr>
          <w:sz w:val="24"/>
        </w:rPr>
        <w:t>120L</w:t>
      </w:r>
      <w:r w:rsidRPr="0061626E">
        <w:rPr>
          <w:sz w:val="24"/>
        </w:rPr>
        <w:t>），收集桶张贴</w:t>
      </w:r>
      <w:r w:rsidRPr="0061626E">
        <w:rPr>
          <w:sz w:val="24"/>
        </w:rPr>
        <w:t>“</w:t>
      </w:r>
      <w:r w:rsidRPr="0061626E">
        <w:rPr>
          <w:sz w:val="24"/>
        </w:rPr>
        <w:t>厨余垃圾</w:t>
      </w:r>
      <w:r w:rsidRPr="0061626E">
        <w:rPr>
          <w:sz w:val="24"/>
        </w:rPr>
        <w:t>”</w:t>
      </w:r>
      <w:r w:rsidRPr="0061626E">
        <w:rPr>
          <w:sz w:val="24"/>
        </w:rPr>
        <w:t>规范标识。</w:t>
      </w:r>
    </w:p>
    <w:p w14:paraId="1BCF28EA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2. </w:t>
      </w:r>
      <w:r w:rsidRPr="0061626E">
        <w:rPr>
          <w:sz w:val="24"/>
        </w:rPr>
        <w:t>收集时间与频率：收集时间需避开师生用餐高峰（早餐：</w:t>
      </w:r>
      <w:r w:rsidRPr="0061626E">
        <w:rPr>
          <w:sz w:val="24"/>
        </w:rPr>
        <w:t>7:00</w:t>
      </w:r>
      <w:r w:rsidRPr="0061626E">
        <w:rPr>
          <w:sz w:val="24"/>
        </w:rPr>
        <w:t>前完成，午餐：</w:t>
      </w:r>
      <w:r w:rsidRPr="0061626E">
        <w:rPr>
          <w:sz w:val="24"/>
        </w:rPr>
        <w:t>11:00-12:40</w:t>
      </w:r>
      <w:r w:rsidRPr="0061626E">
        <w:rPr>
          <w:sz w:val="24"/>
        </w:rPr>
        <w:t>，晚餐：</w:t>
      </w:r>
      <w:r w:rsidRPr="0061626E">
        <w:rPr>
          <w:sz w:val="24"/>
        </w:rPr>
        <w:t>17:00-18:40</w:t>
      </w:r>
      <w:r w:rsidRPr="0061626E">
        <w:rPr>
          <w:sz w:val="24"/>
        </w:rPr>
        <w:t>），确保收集点无</w:t>
      </w:r>
      <w:proofErr w:type="gramStart"/>
      <w:r w:rsidRPr="0061626E">
        <w:rPr>
          <w:sz w:val="24"/>
        </w:rPr>
        <w:t>厨余垃圾</w:t>
      </w:r>
      <w:proofErr w:type="gramEnd"/>
      <w:r w:rsidRPr="0061626E">
        <w:rPr>
          <w:sz w:val="24"/>
        </w:rPr>
        <w:t>积压；遇重大活动（如开学季、校庆等）需根据采购人通知增加收集频次，保障实时清运。</w:t>
      </w:r>
    </w:p>
    <w:p w14:paraId="75615CE4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3. </w:t>
      </w:r>
      <w:r w:rsidRPr="0061626E">
        <w:rPr>
          <w:sz w:val="24"/>
        </w:rPr>
        <w:t>收集现场管理：收集过程中需采取防遗撒、防异味措施，使用专用工具进行装载，避免垃圾遗撒、渗漏；收集完成后需对收集点地面进行清扫，确保无残留垃圾、油污及异味，保持校园环境整洁。垃圾装卸过程中不能粗暴装卸，人为因素导致的垃圾桶损坏，由供应商进行赔偿。</w:t>
      </w:r>
    </w:p>
    <w:p w14:paraId="33358666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（二）运输技术要求</w:t>
      </w:r>
    </w:p>
    <w:p w14:paraId="2771BC5D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1. </w:t>
      </w:r>
      <w:r w:rsidRPr="0061626E">
        <w:rPr>
          <w:sz w:val="24"/>
        </w:rPr>
        <w:t>运输车辆要求：需使用</w:t>
      </w:r>
      <w:proofErr w:type="gramStart"/>
      <w:r w:rsidRPr="0061626E">
        <w:rPr>
          <w:sz w:val="24"/>
        </w:rPr>
        <w:t>厨余垃圾</w:t>
      </w:r>
      <w:proofErr w:type="gramEnd"/>
      <w:r w:rsidRPr="0061626E">
        <w:rPr>
          <w:sz w:val="24"/>
        </w:rPr>
        <w:t>专用运输车辆，车辆需具备防臭、防遗撒、防渗</w:t>
      </w:r>
      <w:proofErr w:type="gramStart"/>
      <w:r w:rsidRPr="0061626E">
        <w:rPr>
          <w:sz w:val="24"/>
        </w:rPr>
        <w:t>沥</w:t>
      </w:r>
      <w:proofErr w:type="gramEnd"/>
      <w:r w:rsidRPr="0061626E">
        <w:rPr>
          <w:sz w:val="24"/>
        </w:rPr>
        <w:t>液滴漏等功能；车辆型号需符合北京市机动车排放标准。</w:t>
      </w:r>
    </w:p>
    <w:p w14:paraId="5154164C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2. </w:t>
      </w:r>
      <w:r w:rsidRPr="0061626E">
        <w:rPr>
          <w:sz w:val="24"/>
        </w:rPr>
        <w:t>运输路线规划：需提前规划校园内运输路线方案，经采购人审核同意后执行；路线需避开教学区、宿舍区核心区域及上下课人流高峰通道，优先选择校园外围道路或专用通道，最大限度降低对教学科研及师生生活的影响。</w:t>
      </w:r>
    </w:p>
    <w:p w14:paraId="21E84BA3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3. </w:t>
      </w:r>
      <w:r w:rsidRPr="0061626E">
        <w:rPr>
          <w:sz w:val="24"/>
        </w:rPr>
        <w:t>运输过程管控：运输车辆需遵守采购人校园通行管理规定，按指定时间、路线行驶，车速不超过</w:t>
      </w:r>
      <w:r w:rsidRPr="0061626E">
        <w:rPr>
          <w:sz w:val="24"/>
        </w:rPr>
        <w:t>15</w:t>
      </w:r>
      <w:r w:rsidRPr="0061626E">
        <w:rPr>
          <w:sz w:val="24"/>
        </w:rPr>
        <w:t>公里</w:t>
      </w:r>
      <w:r w:rsidRPr="0061626E">
        <w:rPr>
          <w:sz w:val="24"/>
        </w:rPr>
        <w:t>/</w:t>
      </w:r>
      <w:r w:rsidRPr="0061626E">
        <w:rPr>
          <w:sz w:val="24"/>
        </w:rPr>
        <w:t>小时；车辆需配备密闭式车厢及防泄漏装置，运输过程中无垃圾遗撒、渗液滴漏及异味扩散；车厢外部需定期清洗消毒，保持外观整</w:t>
      </w:r>
      <w:r w:rsidRPr="0061626E">
        <w:rPr>
          <w:sz w:val="24"/>
        </w:rPr>
        <w:lastRenderedPageBreak/>
        <w:t>洁，张贴</w:t>
      </w:r>
      <w:r w:rsidRPr="0061626E">
        <w:rPr>
          <w:sz w:val="24"/>
        </w:rPr>
        <w:t>“</w:t>
      </w:r>
      <w:r w:rsidRPr="0061626E">
        <w:rPr>
          <w:sz w:val="24"/>
        </w:rPr>
        <w:t>厨余垃圾专用运输</w:t>
      </w:r>
      <w:r w:rsidRPr="0061626E">
        <w:rPr>
          <w:sz w:val="24"/>
        </w:rPr>
        <w:t>”</w:t>
      </w:r>
      <w:r w:rsidRPr="0061626E">
        <w:rPr>
          <w:sz w:val="24"/>
        </w:rPr>
        <w:t>标识。</w:t>
      </w:r>
    </w:p>
    <w:p w14:paraId="67AA6083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4. </w:t>
      </w:r>
      <w:r w:rsidRPr="0061626E">
        <w:rPr>
          <w:sz w:val="24"/>
        </w:rPr>
        <w:t>记录溯源管理：严格执行记录制度，每笔清运业务需详细记录在案，内容包括收集点位、收集时间、垃圾数量、运输车辆信息等；需经采购人现场管理人员签字确认，确保全程可追溯。</w:t>
      </w:r>
    </w:p>
    <w:p w14:paraId="0E45798E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（三）消纳处置技术要求</w:t>
      </w:r>
    </w:p>
    <w:p w14:paraId="1A54E8A5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消</w:t>
      </w:r>
      <w:proofErr w:type="gramStart"/>
      <w:r w:rsidRPr="0061626E">
        <w:rPr>
          <w:sz w:val="24"/>
        </w:rPr>
        <w:t>纳单位</w:t>
      </w:r>
      <w:proofErr w:type="gramEnd"/>
      <w:r w:rsidRPr="0061626E">
        <w:rPr>
          <w:sz w:val="24"/>
        </w:rPr>
        <w:t>要求：需将收集的</w:t>
      </w:r>
      <w:proofErr w:type="gramStart"/>
      <w:r w:rsidRPr="0061626E">
        <w:rPr>
          <w:sz w:val="24"/>
        </w:rPr>
        <w:t>厨余垃圾</w:t>
      </w:r>
      <w:proofErr w:type="gramEnd"/>
      <w:r w:rsidRPr="0061626E">
        <w:rPr>
          <w:sz w:val="24"/>
        </w:rPr>
        <w:t>全部运输至北京市城市管理部门指定</w:t>
      </w:r>
      <w:proofErr w:type="gramStart"/>
      <w:r w:rsidRPr="0061626E">
        <w:rPr>
          <w:sz w:val="24"/>
        </w:rPr>
        <w:t>的厨余垃圾处理</w:t>
      </w:r>
      <w:proofErr w:type="gramEnd"/>
      <w:r w:rsidRPr="0061626E">
        <w:rPr>
          <w:sz w:val="24"/>
        </w:rPr>
        <w:t>单位，该处理单位需具备有效</w:t>
      </w:r>
      <w:proofErr w:type="gramStart"/>
      <w:r w:rsidRPr="0061626E">
        <w:rPr>
          <w:sz w:val="24"/>
        </w:rPr>
        <w:t>的厨余垃圾处理</w:t>
      </w:r>
      <w:proofErr w:type="gramEnd"/>
      <w:r w:rsidRPr="0061626E">
        <w:rPr>
          <w:sz w:val="24"/>
        </w:rPr>
        <w:t>运营资质，处理工艺符合国家及北京市环保标准。</w:t>
      </w:r>
    </w:p>
    <w:p w14:paraId="466DD44A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rFonts w:ascii="Segoe UI Symbol" w:hAnsi="Segoe UI Symbol" w:cs="Segoe UI Symbol"/>
          <w:color w:val="000000"/>
          <w:kern w:val="0"/>
          <w:sz w:val="24"/>
        </w:rPr>
        <w:t>★</w:t>
      </w:r>
      <w:r w:rsidRPr="0061626E">
        <w:rPr>
          <w:sz w:val="24"/>
        </w:rPr>
        <w:t>需提供在有效期内的与处理单位签订的长期服务合同复印件，加盖供应商公章）</w:t>
      </w:r>
    </w:p>
    <w:p w14:paraId="7E75E642" w14:textId="77777777" w:rsidR="003B272D" w:rsidRPr="0061626E" w:rsidRDefault="003B272D" w:rsidP="003B272D">
      <w:pPr>
        <w:spacing w:line="360" w:lineRule="auto"/>
        <w:rPr>
          <w:b/>
          <w:bCs/>
          <w:sz w:val="24"/>
        </w:rPr>
      </w:pPr>
      <w:r w:rsidRPr="0061626E">
        <w:rPr>
          <w:b/>
          <w:bCs/>
          <w:sz w:val="24"/>
        </w:rPr>
        <w:t>三、服务保障及管理要求</w:t>
      </w:r>
    </w:p>
    <w:p w14:paraId="0C0F67D8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1. </w:t>
      </w:r>
      <w:r w:rsidRPr="0061626E">
        <w:rPr>
          <w:sz w:val="24"/>
        </w:rPr>
        <w:t>人员管理：服务人员需统一着装、佩戴工牌上岗，无传染性疾病及犯罪记录；熟悉垃圾分类、运输规范及安全操作规程；上岗前需熟悉校园管理规定，服务过程中文明作业，主动配合采购人管理人员调度。</w:t>
      </w:r>
    </w:p>
    <w:p w14:paraId="460F724E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2. </w:t>
      </w:r>
      <w:r w:rsidRPr="0061626E">
        <w:rPr>
          <w:sz w:val="24"/>
        </w:rPr>
        <w:t>设备保障：需建立运输车辆及收集设备定期维护保养制度，车辆及设备出现故障时，需在</w:t>
      </w:r>
      <w:r w:rsidRPr="0061626E">
        <w:rPr>
          <w:sz w:val="24"/>
        </w:rPr>
        <w:t>2</w:t>
      </w:r>
      <w:r w:rsidRPr="0061626E">
        <w:rPr>
          <w:sz w:val="24"/>
        </w:rPr>
        <w:t>小时内响应，</w:t>
      </w:r>
      <w:r w:rsidRPr="0061626E">
        <w:rPr>
          <w:sz w:val="24"/>
        </w:rPr>
        <w:t>4</w:t>
      </w:r>
      <w:r w:rsidRPr="0061626E">
        <w:rPr>
          <w:sz w:val="24"/>
        </w:rPr>
        <w:t>小时内调配备用设备到位，确保清运工作不中断。</w:t>
      </w:r>
    </w:p>
    <w:p w14:paraId="59A0F3F3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3. </w:t>
      </w:r>
      <w:r w:rsidRPr="0061626E">
        <w:rPr>
          <w:sz w:val="24"/>
        </w:rPr>
        <w:t>应急处置：需制定突发事件应急预案（如疫情、设备故障、极端天气等），明确应急响应流程及责任人员；发生突发事件时，需在</w:t>
      </w:r>
      <w:r w:rsidRPr="0061626E">
        <w:rPr>
          <w:sz w:val="24"/>
        </w:rPr>
        <w:t>1</w:t>
      </w:r>
      <w:r w:rsidRPr="0061626E">
        <w:rPr>
          <w:sz w:val="24"/>
        </w:rPr>
        <w:t>小时内启动预案，并向采购人后勤管理部门汇报处置进展。</w:t>
      </w:r>
    </w:p>
    <w:p w14:paraId="0EBB9469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4. </w:t>
      </w:r>
      <w:r w:rsidRPr="0061626E">
        <w:rPr>
          <w:sz w:val="24"/>
        </w:rPr>
        <w:t>供应商在服务期间由安全事故导致的一切诉讼、争执、索赔、罚款，均由供应商负责承担。供应商在垃圾运输工作中发生的任何涉及人员伤亡、财物损坏等安全事故赔偿、罚款和责任，均由供应商负责承担。</w:t>
      </w:r>
    </w:p>
    <w:p w14:paraId="4D393F89" w14:textId="77777777" w:rsidR="003B272D" w:rsidRPr="0061626E" w:rsidRDefault="003B272D" w:rsidP="003B272D">
      <w:pPr>
        <w:spacing w:line="360" w:lineRule="auto"/>
        <w:rPr>
          <w:b/>
          <w:bCs/>
          <w:sz w:val="24"/>
        </w:rPr>
      </w:pPr>
      <w:r w:rsidRPr="0061626E">
        <w:rPr>
          <w:b/>
          <w:bCs/>
          <w:sz w:val="24"/>
        </w:rPr>
        <w:t>四、验收及考核要求</w:t>
      </w:r>
    </w:p>
    <w:p w14:paraId="284737DF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1.</w:t>
      </w:r>
      <w:r w:rsidRPr="0061626E">
        <w:rPr>
          <w:sz w:val="24"/>
        </w:rPr>
        <w:t>日常验收：采购人现场管理人员每日对清运及时性、收集点整洁度、垃圾是否有遗留等进行检查，验收合格后方可确认当日服务完成。</w:t>
      </w:r>
    </w:p>
    <w:p w14:paraId="4F373C54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2.</w:t>
      </w:r>
      <w:r w:rsidRPr="0061626E">
        <w:rPr>
          <w:sz w:val="24"/>
        </w:rPr>
        <w:t>考核：采购人定期对供应商进行考核，考核不合格双方终止合同。</w:t>
      </w:r>
    </w:p>
    <w:p w14:paraId="151245F3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>3.</w:t>
      </w:r>
      <w:r w:rsidRPr="0061626E">
        <w:rPr>
          <w:sz w:val="24"/>
        </w:rPr>
        <w:t>资料提交及配合检查：供应商应建立垃圾收集、运输、去向等台账，并定期向街道办或乡镇政府报告；供应商有义务应采购人要求提交每月台</w:t>
      </w:r>
      <w:proofErr w:type="gramStart"/>
      <w:r w:rsidRPr="0061626E">
        <w:rPr>
          <w:sz w:val="24"/>
        </w:rPr>
        <w:t>账</w:t>
      </w:r>
      <w:proofErr w:type="gramEnd"/>
      <w:r w:rsidRPr="0061626E">
        <w:rPr>
          <w:sz w:val="24"/>
        </w:rPr>
        <w:t>记录，服务总结，内容包括清运总量、各点位清运明细等资料，同时有义务配合采购人属地管理部门的各项检查工作，包含但不限于清运记录检查，排放登记，台</w:t>
      </w:r>
      <w:proofErr w:type="gramStart"/>
      <w:r w:rsidRPr="0061626E">
        <w:rPr>
          <w:sz w:val="24"/>
        </w:rPr>
        <w:t>账记录</w:t>
      </w:r>
      <w:proofErr w:type="gramEnd"/>
      <w:r w:rsidRPr="0061626E">
        <w:rPr>
          <w:sz w:val="24"/>
        </w:rPr>
        <w:t>上报，</w:t>
      </w:r>
      <w:r w:rsidRPr="0061626E">
        <w:rPr>
          <w:sz w:val="24"/>
        </w:rPr>
        <w:lastRenderedPageBreak/>
        <w:t>整改要求等。</w:t>
      </w:r>
    </w:p>
    <w:p w14:paraId="7912302C" w14:textId="77777777" w:rsidR="003B272D" w:rsidRPr="0061626E" w:rsidRDefault="003B272D" w:rsidP="003B272D">
      <w:pPr>
        <w:spacing w:line="460" w:lineRule="exact"/>
        <w:jc w:val="center"/>
        <w:rPr>
          <w:b/>
          <w:sz w:val="24"/>
        </w:rPr>
      </w:pPr>
    </w:p>
    <w:p w14:paraId="49CF1154" w14:textId="77777777" w:rsidR="003B272D" w:rsidRPr="0061626E" w:rsidRDefault="003B272D" w:rsidP="003B272D">
      <w:pPr>
        <w:spacing w:line="460" w:lineRule="exact"/>
        <w:jc w:val="center"/>
        <w:rPr>
          <w:b/>
          <w:sz w:val="24"/>
        </w:rPr>
      </w:pPr>
      <w:proofErr w:type="gramStart"/>
      <w:r w:rsidRPr="0061626E">
        <w:rPr>
          <w:b/>
          <w:sz w:val="24"/>
        </w:rPr>
        <w:t>厨余垃圾清运</w:t>
      </w:r>
      <w:proofErr w:type="gramEnd"/>
      <w:r w:rsidRPr="0061626E">
        <w:rPr>
          <w:b/>
          <w:sz w:val="24"/>
        </w:rPr>
        <w:t>服务年度考核表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413"/>
        <w:gridCol w:w="2835"/>
        <w:gridCol w:w="3118"/>
        <w:gridCol w:w="993"/>
        <w:gridCol w:w="850"/>
      </w:tblGrid>
      <w:tr w:rsidR="003B272D" w:rsidRPr="0061626E" w14:paraId="08EBAAC3" w14:textId="77777777" w:rsidTr="006A68C2">
        <w:trPr>
          <w:trHeight w:val="6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B69" w14:textId="77777777" w:rsidR="003B272D" w:rsidRPr="0061626E" w:rsidRDefault="003B272D" w:rsidP="006A68C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考核类别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C118" w14:textId="77777777" w:rsidR="003B272D" w:rsidRPr="0061626E" w:rsidRDefault="003B272D" w:rsidP="006A68C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考核指标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872B" w14:textId="77777777" w:rsidR="003B272D" w:rsidRPr="0061626E" w:rsidRDefault="003B272D" w:rsidP="006A68C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评分标准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411A" w14:textId="77777777" w:rsidR="003B272D" w:rsidRPr="0061626E" w:rsidRDefault="003B272D" w:rsidP="006A68C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8367" w14:textId="77777777" w:rsidR="003B272D" w:rsidRPr="0061626E" w:rsidRDefault="003B272D" w:rsidP="006A68C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得分</w:t>
            </w:r>
          </w:p>
        </w:tc>
      </w:tr>
      <w:tr w:rsidR="003B272D" w:rsidRPr="0061626E" w14:paraId="037BA06A" w14:textId="77777777" w:rsidTr="006A68C2">
        <w:trPr>
          <w:trHeight w:val="624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B1FC" w14:textId="77777777" w:rsidR="003B272D" w:rsidRPr="0061626E" w:rsidRDefault="003B272D" w:rsidP="006A68C2">
            <w:pPr>
              <w:widowControl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服务标准（</w:t>
            </w:r>
            <w:r w:rsidRPr="0061626E">
              <w:rPr>
                <w:b/>
                <w:bCs/>
                <w:color w:val="000000"/>
                <w:sz w:val="24"/>
              </w:rPr>
              <w:t xml:space="preserve">60 </w:t>
            </w:r>
            <w:r w:rsidRPr="0061626E">
              <w:rPr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04C4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proofErr w:type="gramStart"/>
            <w:r w:rsidRPr="0061626E">
              <w:rPr>
                <w:color w:val="000000"/>
                <w:sz w:val="24"/>
              </w:rPr>
              <w:t>厨余垃圾清运</w:t>
            </w:r>
            <w:proofErr w:type="gramEnd"/>
            <w:r w:rsidRPr="0061626E">
              <w:rPr>
                <w:color w:val="000000"/>
                <w:sz w:val="24"/>
              </w:rPr>
              <w:t>时间合</w:t>
            </w:r>
            <w:proofErr w:type="gramStart"/>
            <w:r w:rsidRPr="0061626E">
              <w:rPr>
                <w:color w:val="000000"/>
                <w:sz w:val="24"/>
              </w:rPr>
              <w:t>规</w:t>
            </w:r>
            <w:proofErr w:type="gramEnd"/>
            <w:r w:rsidRPr="0061626E">
              <w:rPr>
                <w:color w:val="000000"/>
                <w:sz w:val="24"/>
              </w:rPr>
              <w:t>性</w:t>
            </w:r>
            <w:r w:rsidRPr="0061626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7C1E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按规定时间清运无漏运得</w:t>
            </w:r>
            <w:r w:rsidRPr="0061626E">
              <w:rPr>
                <w:color w:val="000000"/>
                <w:sz w:val="24"/>
              </w:rPr>
              <w:t xml:space="preserve"> 30</w:t>
            </w:r>
            <w:r w:rsidRPr="0061626E">
              <w:rPr>
                <w:color w:val="000000"/>
                <w:sz w:val="24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451F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EE9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 xml:space="preserve">　</w:t>
            </w:r>
          </w:p>
        </w:tc>
      </w:tr>
      <w:tr w:rsidR="003B272D" w:rsidRPr="0061626E" w14:paraId="6CA3C8C0" w14:textId="77777777" w:rsidTr="006A68C2">
        <w:trPr>
          <w:trHeight w:val="8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A5BA" w14:textId="77777777" w:rsidR="003B272D" w:rsidRPr="0061626E" w:rsidRDefault="003B272D" w:rsidP="006A68C2">
            <w:pPr>
              <w:widowControl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9249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清运过程及周边卫生状况</w:t>
            </w:r>
            <w:r w:rsidRPr="0061626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B976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清运无垃圾散落、污水渗漏，周边整洁得</w:t>
            </w:r>
            <w:r w:rsidRPr="0061626E">
              <w:rPr>
                <w:color w:val="000000"/>
                <w:sz w:val="24"/>
              </w:rPr>
              <w:t xml:space="preserve"> 30 </w:t>
            </w:r>
            <w:r w:rsidRPr="0061626E">
              <w:rPr>
                <w:color w:val="000000"/>
                <w:sz w:val="24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AD85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65C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</w:p>
        </w:tc>
      </w:tr>
      <w:tr w:rsidR="003B272D" w:rsidRPr="0061626E" w14:paraId="420315F9" w14:textId="77777777" w:rsidTr="006A68C2">
        <w:trPr>
          <w:trHeight w:val="624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C14" w14:textId="77777777" w:rsidR="003B272D" w:rsidRPr="0061626E" w:rsidRDefault="003B272D" w:rsidP="006A68C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服务质量（</w:t>
            </w:r>
            <w:r w:rsidRPr="0061626E">
              <w:rPr>
                <w:b/>
                <w:bCs/>
                <w:color w:val="000000"/>
                <w:sz w:val="24"/>
              </w:rPr>
              <w:t xml:space="preserve">40 </w:t>
            </w:r>
            <w:r w:rsidRPr="0061626E">
              <w:rPr>
                <w:b/>
                <w:bCs/>
                <w:color w:val="000000"/>
                <w:sz w:val="24"/>
              </w:rPr>
              <w:t>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1EB3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特殊情况处理能力</w:t>
            </w:r>
            <w:r w:rsidRPr="0061626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6DEE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特殊情况能增加清运次数且处理得当得</w:t>
            </w:r>
            <w:r w:rsidRPr="0061626E">
              <w:rPr>
                <w:color w:val="000000"/>
                <w:sz w:val="24"/>
              </w:rPr>
              <w:t xml:space="preserve"> 20 </w:t>
            </w:r>
            <w:r w:rsidRPr="0061626E">
              <w:rPr>
                <w:color w:val="000000"/>
                <w:sz w:val="24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0014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D714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 xml:space="preserve">　</w:t>
            </w:r>
          </w:p>
        </w:tc>
      </w:tr>
      <w:tr w:rsidR="003B272D" w:rsidRPr="0061626E" w14:paraId="2B1D14B3" w14:textId="77777777" w:rsidTr="006A68C2">
        <w:trPr>
          <w:trHeight w:val="62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707" w14:textId="77777777" w:rsidR="003B272D" w:rsidRPr="0061626E" w:rsidRDefault="003B272D" w:rsidP="006A68C2">
            <w:pPr>
              <w:widowControl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1BA7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设施设备爱护情况</w:t>
            </w:r>
            <w:r w:rsidRPr="0061626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B3C7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无设施设备损坏得</w:t>
            </w:r>
            <w:r w:rsidRPr="0061626E">
              <w:rPr>
                <w:color w:val="000000"/>
                <w:sz w:val="24"/>
              </w:rPr>
              <w:t xml:space="preserve"> 15 </w:t>
            </w:r>
            <w:r w:rsidRPr="0061626E">
              <w:rPr>
                <w:color w:val="000000"/>
                <w:sz w:val="24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B888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E7B6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</w:p>
        </w:tc>
      </w:tr>
      <w:tr w:rsidR="003B272D" w:rsidRPr="0061626E" w14:paraId="3B04FA87" w14:textId="77777777" w:rsidTr="006A68C2">
        <w:trPr>
          <w:trHeight w:val="62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0DF" w14:textId="77777777" w:rsidR="003B272D" w:rsidRPr="0061626E" w:rsidRDefault="003B272D" w:rsidP="006A68C2">
            <w:pPr>
              <w:widowControl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4653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环保法规遵守情况</w:t>
            </w:r>
            <w:r w:rsidRPr="0061626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912E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遵守法规无随意倾倒得</w:t>
            </w:r>
            <w:r w:rsidRPr="0061626E">
              <w:rPr>
                <w:color w:val="000000"/>
                <w:sz w:val="24"/>
              </w:rPr>
              <w:t xml:space="preserve"> 15</w:t>
            </w:r>
            <w:r w:rsidRPr="0061626E">
              <w:rPr>
                <w:color w:val="000000"/>
                <w:sz w:val="24"/>
              </w:rPr>
              <w:t>分</w:t>
            </w:r>
            <w:r w:rsidRPr="0061626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5FF0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5F0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</w:p>
        </w:tc>
      </w:tr>
      <w:tr w:rsidR="003B272D" w:rsidRPr="0061626E" w14:paraId="30E3CEC1" w14:textId="77777777" w:rsidTr="006A68C2">
        <w:trPr>
          <w:trHeight w:val="59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E13" w14:textId="77777777" w:rsidR="003B272D" w:rsidRPr="0061626E" w:rsidRDefault="003B272D" w:rsidP="006A68C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 w:rsidRPr="0061626E">
              <w:rPr>
                <w:b/>
                <w:bCs/>
                <w:color w:val="000000"/>
                <w:sz w:val="24"/>
              </w:rPr>
              <w:t>总分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315B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63D4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D617B" w14:textId="77777777" w:rsidR="003B272D" w:rsidRPr="0061626E" w:rsidRDefault="003B272D" w:rsidP="006A68C2">
            <w:pPr>
              <w:widowControl/>
              <w:jc w:val="center"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7EA2" w14:textId="77777777" w:rsidR="003B272D" w:rsidRPr="0061626E" w:rsidRDefault="003B272D" w:rsidP="006A68C2">
            <w:pPr>
              <w:widowControl/>
              <w:rPr>
                <w:color w:val="000000"/>
                <w:sz w:val="24"/>
              </w:rPr>
            </w:pPr>
            <w:r w:rsidRPr="0061626E">
              <w:rPr>
                <w:color w:val="000000"/>
                <w:sz w:val="24"/>
              </w:rPr>
              <w:t xml:space="preserve">　</w:t>
            </w:r>
          </w:p>
        </w:tc>
      </w:tr>
    </w:tbl>
    <w:p w14:paraId="2E7F7F4B" w14:textId="77777777" w:rsidR="003B272D" w:rsidRPr="0061626E" w:rsidRDefault="003B272D" w:rsidP="003B272D">
      <w:pPr>
        <w:pStyle w:val="a0"/>
        <w:rPr>
          <w:rFonts w:ascii="Times New Roman" w:hAnsi="Times New Roman" w:cs="Times New Roman"/>
        </w:rPr>
      </w:pPr>
    </w:p>
    <w:p w14:paraId="6C4332C7" w14:textId="77777777" w:rsidR="003B272D" w:rsidRPr="0061626E" w:rsidRDefault="003B272D" w:rsidP="003B272D">
      <w:pPr>
        <w:spacing w:line="360" w:lineRule="auto"/>
        <w:rPr>
          <w:b/>
          <w:bCs/>
          <w:sz w:val="24"/>
        </w:rPr>
      </w:pPr>
      <w:r w:rsidRPr="0061626E">
        <w:rPr>
          <w:b/>
          <w:bCs/>
          <w:sz w:val="24"/>
        </w:rPr>
        <w:t>五、其他要求</w:t>
      </w:r>
    </w:p>
    <w:p w14:paraId="68FFEC45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1. </w:t>
      </w:r>
      <w:r w:rsidRPr="0061626E">
        <w:rPr>
          <w:sz w:val="24"/>
        </w:rPr>
        <w:t>服务期限内，供应商需严格遵守国家及北京市关于</w:t>
      </w:r>
      <w:proofErr w:type="gramStart"/>
      <w:r w:rsidRPr="0061626E">
        <w:rPr>
          <w:sz w:val="24"/>
        </w:rPr>
        <w:t>厨余垃圾</w:t>
      </w:r>
      <w:proofErr w:type="gramEnd"/>
      <w:r w:rsidRPr="0061626E">
        <w:rPr>
          <w:sz w:val="24"/>
        </w:rPr>
        <w:t>管理的最新法规政策，</w:t>
      </w:r>
      <w:proofErr w:type="gramStart"/>
      <w:r w:rsidRPr="0061626E">
        <w:rPr>
          <w:sz w:val="24"/>
        </w:rPr>
        <w:t>若政策</w:t>
      </w:r>
      <w:proofErr w:type="gramEnd"/>
      <w:r w:rsidRPr="0061626E">
        <w:rPr>
          <w:sz w:val="24"/>
        </w:rPr>
        <w:t>调整需及时调整服务方案，确保合</w:t>
      </w:r>
      <w:proofErr w:type="gramStart"/>
      <w:r w:rsidRPr="0061626E">
        <w:rPr>
          <w:sz w:val="24"/>
        </w:rPr>
        <w:t>规</w:t>
      </w:r>
      <w:proofErr w:type="gramEnd"/>
      <w:r w:rsidRPr="0061626E">
        <w:rPr>
          <w:sz w:val="24"/>
        </w:rPr>
        <w:t>运营，相关成本由供应商自行承担。</w:t>
      </w:r>
    </w:p>
    <w:p w14:paraId="3D1811EC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sz w:val="24"/>
        </w:rPr>
        <w:t xml:space="preserve">2. </w:t>
      </w:r>
      <w:r w:rsidRPr="0061626E">
        <w:rPr>
          <w:sz w:val="24"/>
        </w:rPr>
        <w:t>服务过程中若发生安全事故、环保违规或因供应商原因造成采购人声誉损失的，采购人有权终止合同，并要求供应商承担相应赔偿责任。</w:t>
      </w:r>
    </w:p>
    <w:p w14:paraId="5F745211" w14:textId="77777777" w:rsidR="003B272D" w:rsidRPr="0061626E" w:rsidRDefault="003B272D" w:rsidP="003B272D">
      <w:pPr>
        <w:pStyle w:val="a0"/>
        <w:rPr>
          <w:rFonts w:ascii="Times New Roman" w:hAnsi="Times New Roman" w:cs="Times New Roman"/>
          <w:sz w:val="24"/>
          <w:szCs w:val="24"/>
        </w:rPr>
      </w:pPr>
      <w:r w:rsidRPr="0061626E">
        <w:rPr>
          <w:rFonts w:ascii="Segoe UI Symbol" w:hAnsi="Segoe UI Symbol" w:cs="Segoe UI Symbol"/>
          <w:sz w:val="24"/>
        </w:rPr>
        <w:t>★</w:t>
      </w:r>
      <w:r w:rsidRPr="0061626E">
        <w:rPr>
          <w:rFonts w:ascii="Times New Roman" w:hAnsi="Times New Roman" w:cs="Times New Roman"/>
          <w:sz w:val="24"/>
          <w:szCs w:val="24"/>
        </w:rPr>
        <w:t>3.</w:t>
      </w:r>
      <w:r w:rsidRPr="0061626E">
        <w:rPr>
          <w:rFonts w:ascii="Times New Roman" w:hAnsi="Times New Roman" w:cs="Times New Roman"/>
        </w:rPr>
        <w:t xml:space="preserve"> </w:t>
      </w:r>
      <w:r w:rsidRPr="0061626E">
        <w:rPr>
          <w:rFonts w:ascii="Times New Roman" w:hAnsi="Times New Roman" w:cs="Times New Roman"/>
          <w:sz w:val="24"/>
          <w:szCs w:val="24"/>
        </w:rPr>
        <w:t>供应商应承诺其提供的</w:t>
      </w:r>
      <w:proofErr w:type="gramStart"/>
      <w:r w:rsidRPr="0061626E">
        <w:rPr>
          <w:rFonts w:ascii="Times New Roman" w:hAnsi="Times New Roman" w:cs="Times New Roman"/>
          <w:sz w:val="24"/>
          <w:szCs w:val="24"/>
        </w:rPr>
        <w:t>厨余垃圾</w:t>
      </w:r>
      <w:proofErr w:type="gramEnd"/>
      <w:r w:rsidRPr="0061626E">
        <w:rPr>
          <w:rFonts w:ascii="Times New Roman" w:hAnsi="Times New Roman" w:cs="Times New Roman"/>
          <w:sz w:val="24"/>
          <w:szCs w:val="24"/>
        </w:rPr>
        <w:t>服务可覆盖本项目的服务区域。（需提供承诺函，加盖供应商公章。）</w:t>
      </w:r>
    </w:p>
    <w:p w14:paraId="0C7D2D05" w14:textId="77777777" w:rsidR="003B272D" w:rsidRPr="0061626E" w:rsidRDefault="003B272D" w:rsidP="003B272D">
      <w:pPr>
        <w:spacing w:line="360" w:lineRule="auto"/>
        <w:rPr>
          <w:sz w:val="24"/>
        </w:rPr>
      </w:pPr>
      <w:r w:rsidRPr="0061626E">
        <w:rPr>
          <w:rFonts w:ascii="Segoe UI Symbol" w:hAnsi="Segoe UI Symbol" w:cs="Segoe UI Symbol"/>
          <w:sz w:val="24"/>
        </w:rPr>
        <w:t>★</w:t>
      </w:r>
      <w:r w:rsidRPr="0061626E">
        <w:rPr>
          <w:sz w:val="24"/>
        </w:rPr>
        <w:t>4.</w:t>
      </w:r>
      <w:r w:rsidRPr="0061626E">
        <w:rPr>
          <w:sz w:val="24"/>
        </w:rPr>
        <w:t>后缴费结算方式。</w:t>
      </w:r>
      <w:proofErr w:type="gramStart"/>
      <w:r w:rsidRPr="0061626E">
        <w:rPr>
          <w:sz w:val="24"/>
        </w:rPr>
        <w:t>厨余垃圾</w:t>
      </w:r>
      <w:proofErr w:type="gramEnd"/>
      <w:r w:rsidRPr="0061626E">
        <w:rPr>
          <w:sz w:val="24"/>
        </w:rPr>
        <w:t>日产日清。每</w:t>
      </w:r>
      <w:r w:rsidRPr="0061626E">
        <w:rPr>
          <w:sz w:val="24"/>
        </w:rPr>
        <w:t>6</w:t>
      </w:r>
      <w:r w:rsidRPr="0061626E">
        <w:rPr>
          <w:sz w:val="24"/>
        </w:rPr>
        <w:t>个月按每年中标金额的一半核算金额（支付期如遇节假日或寒暑假顺延），</w:t>
      </w:r>
      <w:r w:rsidRPr="0061626E">
        <w:rPr>
          <w:sz w:val="24"/>
          <w:u w:val="single"/>
        </w:rPr>
        <w:t>10</w:t>
      </w:r>
      <w:r w:rsidRPr="0061626E">
        <w:rPr>
          <w:sz w:val="24"/>
        </w:rPr>
        <w:t>日内，</w:t>
      </w:r>
      <w:proofErr w:type="gramStart"/>
      <w:r w:rsidRPr="0061626E">
        <w:rPr>
          <w:sz w:val="24"/>
        </w:rPr>
        <w:t>结算厨余垃圾处理</w:t>
      </w:r>
      <w:proofErr w:type="gramEnd"/>
      <w:r w:rsidRPr="0061626E">
        <w:rPr>
          <w:sz w:val="24"/>
        </w:rPr>
        <w:t>费。（</w:t>
      </w:r>
      <w:r w:rsidRPr="0061626E">
        <w:rPr>
          <w:b/>
          <w:bCs/>
          <w:sz w:val="24"/>
        </w:rPr>
        <w:t>需提供承诺函，格式自拟，加盖供应商公章</w:t>
      </w:r>
      <w:r w:rsidRPr="0061626E">
        <w:rPr>
          <w:sz w:val="24"/>
        </w:rPr>
        <w:t>）</w:t>
      </w:r>
    </w:p>
    <w:p w14:paraId="247CB445" w14:textId="77777777" w:rsidR="00FD27EE" w:rsidRPr="003B272D" w:rsidRDefault="00FD27EE">
      <w:pPr>
        <w:rPr>
          <w:rFonts w:hint="eastAsia"/>
        </w:rPr>
      </w:pPr>
    </w:p>
    <w:sectPr w:rsidR="00FD27EE" w:rsidRPr="003B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14BA" w14:textId="77777777" w:rsidR="00924828" w:rsidRDefault="00924828" w:rsidP="003B272D">
      <w:pPr>
        <w:rPr>
          <w:rFonts w:hint="eastAsia"/>
        </w:rPr>
      </w:pPr>
      <w:r>
        <w:separator/>
      </w:r>
    </w:p>
  </w:endnote>
  <w:endnote w:type="continuationSeparator" w:id="0">
    <w:p w14:paraId="0A20BA20" w14:textId="77777777" w:rsidR="00924828" w:rsidRDefault="00924828" w:rsidP="003B27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4A9D" w14:textId="77777777" w:rsidR="00924828" w:rsidRDefault="00924828" w:rsidP="003B272D">
      <w:pPr>
        <w:rPr>
          <w:rFonts w:hint="eastAsia"/>
        </w:rPr>
      </w:pPr>
      <w:r>
        <w:separator/>
      </w:r>
    </w:p>
  </w:footnote>
  <w:footnote w:type="continuationSeparator" w:id="0">
    <w:p w14:paraId="7BBD17AB" w14:textId="77777777" w:rsidR="00924828" w:rsidRDefault="00924828" w:rsidP="003B27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18"/>
    <w:rsid w:val="001B6418"/>
    <w:rsid w:val="003B272D"/>
    <w:rsid w:val="00924828"/>
    <w:rsid w:val="00D77A8F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2A6A0D-E057-48E6-A276-62A57BD4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B272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41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1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1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1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1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1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1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1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1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B6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B6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B6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B64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B641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1B64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B6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B6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B641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B6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1B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B6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1B6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B6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1B641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B641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1B641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B6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1B6418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1B641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B272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3B272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B272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3B272D"/>
    <w:rPr>
      <w:sz w:val="18"/>
      <w:szCs w:val="18"/>
    </w:rPr>
  </w:style>
  <w:style w:type="paragraph" w:styleId="a0">
    <w:name w:val="Body Text"/>
    <w:basedOn w:val="a"/>
    <w:next w:val="a"/>
    <w:link w:val="af3"/>
    <w:autoRedefine/>
    <w:qFormat/>
    <w:rsid w:val="003B272D"/>
    <w:pPr>
      <w:tabs>
        <w:tab w:val="left" w:pos="567"/>
      </w:tabs>
      <w:spacing w:before="120" w:line="360" w:lineRule="auto"/>
      <w:jc w:val="left"/>
    </w:pPr>
    <w:rPr>
      <w:rFonts w:ascii="宋体" w:hAnsi="宋体" w:cs="宋体"/>
      <w:szCs w:val="21"/>
    </w:rPr>
  </w:style>
  <w:style w:type="character" w:customStyle="1" w:styleId="af3">
    <w:name w:val="正文文本 字符"/>
    <w:basedOn w:val="a1"/>
    <w:link w:val="a0"/>
    <w:qFormat/>
    <w:rsid w:val="003B272D"/>
    <w:rPr>
      <w:rFonts w:ascii="宋体" w:eastAsia="宋体" w:hAnsi="宋体" w:cs="宋体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zsl</dc:creator>
  <cp:keywords/>
  <dc:description/>
  <cp:lastModifiedBy>tc zsl</cp:lastModifiedBy>
  <cp:revision>2</cp:revision>
  <dcterms:created xsi:type="dcterms:W3CDTF">2025-12-19T06:24:00Z</dcterms:created>
  <dcterms:modified xsi:type="dcterms:W3CDTF">2025-12-19T06:24:00Z</dcterms:modified>
</cp:coreProperties>
</file>