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numId w:val="0"/>
        </w:numPr>
        <w:spacing w:before="0" w:after="0" w:line="240" w:lineRule="auto"/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招标公告</w:t>
      </w:r>
    </w:p>
    <w:p>
      <w:pPr>
        <w:rPr>
          <w:rFonts w:hint="eastAsia" w:ascii="宋体" w:hAnsi="宋体" w:eastAsia="宋体" w:cs="宋体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u w:val="single"/>
        </w:rPr>
        <w:t>(华北电力大学风电机组监测与控制实验系统)</w:t>
      </w:r>
      <w:r>
        <w:rPr>
          <w:rFonts w:hint="eastAsia" w:ascii="宋体" w:hAnsi="宋体" w:eastAsia="宋体" w:cs="宋体"/>
          <w:sz w:val="24"/>
          <w:highlight w:val="none"/>
        </w:rPr>
        <w:t xml:space="preserve"> 招标项目的潜在投标人应在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（北京市海淀区中关村东路18号财智国际大厦C栋20层2010室）</w:t>
      </w:r>
      <w:r>
        <w:rPr>
          <w:rFonts w:hint="eastAsia" w:ascii="宋体" w:hAnsi="宋体" w:eastAsia="宋体" w:cs="宋体"/>
          <w:sz w:val="24"/>
          <w:highlight w:val="none"/>
        </w:rPr>
        <w:t>获取招标文件，并于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4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日下午13:30</w:t>
      </w:r>
      <w:r>
        <w:rPr>
          <w:rFonts w:hint="eastAsia" w:ascii="宋体" w:hAnsi="宋体" w:eastAsia="宋体" w:cs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rPr>
          <w:rFonts w:hint="eastAsia" w:ascii="宋体" w:hAnsi="宋体" w:eastAsia="宋体" w:cs="宋体"/>
          <w:highlight w:val="none"/>
        </w:rPr>
      </w:pPr>
      <w:bookmarkStart w:id="0" w:name="_Toc28359002"/>
      <w:bookmarkStart w:id="1" w:name="_Toc35393790"/>
      <w:bookmarkStart w:id="2" w:name="_Toc28359079"/>
      <w:bookmarkStart w:id="3" w:name="_Toc35393621"/>
      <w:bookmarkStart w:id="4" w:name="_Hlk243792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5" w:name="_Toc19734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项目代理编号：HCZB-2024-ZB0819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项目名称：</w:t>
      </w:r>
      <w:bookmarkEnd w:id="4"/>
      <w:r>
        <w:rPr>
          <w:rFonts w:hint="eastAsia" w:ascii="宋体" w:hAnsi="宋体" w:eastAsia="宋体" w:cs="宋体"/>
          <w:sz w:val="24"/>
          <w:highlight w:val="none"/>
        </w:rPr>
        <w:t>华北电力大学风电机组监测与控制实验系统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预算金额：</w:t>
      </w:r>
      <w:r>
        <w:rPr>
          <w:rFonts w:hint="eastAsia" w:ascii="宋体" w:hAnsi="宋体" w:eastAsia="宋体" w:cs="宋体"/>
          <w:sz w:val="24"/>
          <w:highlight w:val="none"/>
        </w:rPr>
        <w:t>80</w:t>
      </w:r>
      <w:r>
        <w:rPr>
          <w:rFonts w:hint="eastAsia" w:ascii="宋体" w:hAnsi="宋体" w:eastAsia="宋体" w:cs="宋体"/>
          <w:sz w:val="24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采购需求：风电机组监测与控制实验系统采购</w:t>
      </w:r>
      <w:bookmarkStart w:id="39" w:name="_GoBack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合同履行期限：</w:t>
      </w:r>
      <w:bookmarkStart w:id="6" w:name="_Hlk168330964"/>
      <w:r>
        <w:rPr>
          <w:rFonts w:hint="eastAsia" w:ascii="宋体" w:hAnsi="宋体" w:eastAsia="宋体" w:cs="宋体"/>
          <w:sz w:val="24"/>
          <w:highlight w:val="none"/>
        </w:rPr>
        <w:t>签订合同之日起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90</w:t>
      </w:r>
      <w:r>
        <w:rPr>
          <w:rFonts w:hint="eastAsia" w:ascii="宋体" w:hAnsi="宋体" w:eastAsia="宋体" w:cs="宋体"/>
          <w:sz w:val="24"/>
          <w:highlight w:val="none"/>
        </w:rPr>
        <w:t>个工作日内完成交货、安装、调试</w:t>
      </w:r>
      <w:bookmarkEnd w:id="6"/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7" w:name="_Toc35393622"/>
      <w:bookmarkStart w:id="8" w:name="_Toc28359080"/>
      <w:bookmarkStart w:id="9" w:name="_Toc35393791"/>
      <w:bookmarkStart w:id="10" w:name="_Toc14517"/>
      <w:bookmarkStart w:id="11" w:name="_Toc28359003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二、申请人的资格要求：</w:t>
      </w:r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bookmarkStart w:id="12" w:name="_Toc28359081"/>
      <w:bookmarkStart w:id="13" w:name="_Toc28359004"/>
      <w:r>
        <w:rPr>
          <w:rFonts w:hint="eastAsia" w:ascii="宋体" w:hAnsi="宋体" w:eastAsia="宋体" w:cs="宋体"/>
          <w:sz w:val="24"/>
          <w:highlight w:val="none"/>
        </w:rPr>
        <w:t>1.满足《中华人民共和国政府采购法》第二十二条规定：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2.落实政府采购政策需满足的资格要求：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本项目专门面向中小型、微型企业（监狱、戒毒企业、残疾人福利性单位视同小微企业）采购。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（一）本项目不接受联合体投标。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（二）法律、行政法规规定的其他条件：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）投标人必须向采购代理机构购买招标文件并登记备案，未向采购代理机构购买招标文件并登记备案的无资格参加本次投标。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bookmarkStart w:id="14" w:name="_Toc16466"/>
      <w:bookmarkStart w:id="15" w:name="_Toc35393623"/>
      <w:bookmarkStart w:id="16" w:name="_Toc35393792"/>
      <w:r>
        <w:rPr>
          <w:rFonts w:hint="eastAsia" w:ascii="宋体" w:hAnsi="宋体" w:eastAsia="宋体" w:cs="宋体"/>
          <w:sz w:val="24"/>
          <w:szCs w:val="32"/>
          <w:highlight w:val="none"/>
        </w:rPr>
        <w:t>（4）本项目不接受进口产品。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三、获取招标文件</w:t>
      </w:r>
      <w:bookmarkEnd w:id="12"/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highlight w:val="none"/>
        </w:rPr>
        <w:t>日至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highlight w:val="none"/>
        </w:rPr>
        <w:t>日，每天上午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09:00</w:t>
      </w:r>
      <w:r>
        <w:rPr>
          <w:rFonts w:hint="eastAsia" w:ascii="宋体" w:hAnsi="宋体" w:eastAsia="宋体" w:cs="宋体"/>
          <w:sz w:val="24"/>
          <w:highlight w:val="none"/>
        </w:rPr>
        <w:t>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12:00</w:t>
      </w:r>
      <w:r>
        <w:rPr>
          <w:rFonts w:hint="eastAsia" w:ascii="宋体" w:hAnsi="宋体" w:eastAsia="宋体" w:cs="宋体"/>
          <w:sz w:val="24"/>
          <w:highlight w:val="none"/>
        </w:rPr>
        <w:t>，下午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13:00</w:t>
      </w:r>
      <w:r>
        <w:rPr>
          <w:rFonts w:hint="eastAsia" w:ascii="宋体" w:hAnsi="宋体" w:eastAsia="宋体" w:cs="宋体"/>
          <w:sz w:val="24"/>
          <w:highlight w:val="none"/>
        </w:rPr>
        <w:t>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17:00</w:t>
      </w:r>
      <w:r>
        <w:rPr>
          <w:rFonts w:hint="eastAsia" w:ascii="宋体" w:hAnsi="宋体" w:eastAsia="宋体" w:cs="宋体"/>
          <w:sz w:val="24"/>
          <w:highlight w:val="none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地点：北京市海淀区中关村东路18号财智国际大厦C栋20层2010室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方式：现场报名，无需提供资料。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售价：500元/本，招标文件售后不退。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17" w:name="_Toc28359082"/>
      <w:bookmarkStart w:id="18" w:name="_Toc28359005"/>
      <w:bookmarkStart w:id="19" w:name="_Toc18171"/>
      <w:bookmarkStart w:id="20" w:name="_Toc35393624"/>
      <w:bookmarkStart w:id="21" w:name="_Toc35393793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四、提交投标文件</w:t>
      </w:r>
      <w:bookmarkEnd w:id="17"/>
      <w:bookmarkEnd w:id="18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截止时间、开标时间和地点</w:t>
      </w:r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4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日下午13:30</w:t>
      </w:r>
      <w:r>
        <w:rPr>
          <w:rFonts w:hint="eastAsia" w:ascii="宋体" w:hAnsi="宋体" w:eastAsia="宋体" w:cs="宋体"/>
          <w:bCs/>
          <w:sz w:val="24"/>
          <w:highlight w:val="none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地点：北京市海淀区中关村东路18号财智国际大厦C栋20层2010室第二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22" w:name="_Toc28359007"/>
      <w:bookmarkStart w:id="23" w:name="_Toc35393625"/>
      <w:bookmarkStart w:id="24" w:name="_Toc9136"/>
      <w:bookmarkStart w:id="25" w:name="_Toc35393794"/>
      <w:bookmarkStart w:id="26" w:name="_Toc28359084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五、公告期限</w:t>
      </w:r>
      <w:bookmarkEnd w:id="22"/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27" w:name="_Toc35393795"/>
      <w:bookmarkStart w:id="28" w:name="_Toc8180"/>
      <w:bookmarkStart w:id="29" w:name="_Toc35393626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六、其他补充事宜</w:t>
      </w:r>
      <w:bookmarkEnd w:id="27"/>
      <w:bookmarkEnd w:id="28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30" w:name="_Toc28359008"/>
      <w:bookmarkStart w:id="31" w:name="_Toc35393627"/>
      <w:bookmarkStart w:id="32" w:name="_Toc1705"/>
      <w:bookmarkStart w:id="33" w:name="_Toc28359085"/>
      <w:bookmarkStart w:id="34" w:name="_Toc35393796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bookmarkStart w:id="35" w:name="_Toc28359009"/>
      <w:bookmarkStart w:id="36" w:name="_Toc28359086"/>
      <w:r>
        <w:rPr>
          <w:rFonts w:hint="eastAsia" w:ascii="宋体" w:hAnsi="宋体" w:eastAsia="宋体" w:cs="宋体"/>
          <w:sz w:val="24"/>
          <w:highlight w:val="none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2、采购代理机构信息</w:t>
      </w:r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联系方式：</w:t>
      </w:r>
      <w:bookmarkStart w:id="37" w:name="_Toc28359087"/>
      <w:bookmarkStart w:id="38" w:name="_Toc28359010"/>
      <w:r>
        <w:rPr>
          <w:rFonts w:hint="eastAsia" w:ascii="宋体" w:hAnsi="宋体" w:eastAsia="宋体" w:cs="宋体"/>
          <w:sz w:val="24"/>
          <w:highlight w:val="none"/>
        </w:rPr>
        <w:t>贾东敏、姚冲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3、项目联系方式</w:t>
      </w:r>
      <w:bookmarkEnd w:id="37"/>
      <w:bookmarkEnd w:id="38"/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项目联系人：贾东敏、姚冲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电 话：186-1228-7813/7807</w:t>
      </w:r>
    </w:p>
    <w:p>
      <w:pPr>
        <w:pStyle w:val="2"/>
        <w:rPr>
          <w:rFonts w:hint="eastAsia" w:ascii="宋体" w:hAnsi="宋体" w:eastAsia="宋体" w:cs="宋体"/>
          <w:sz w:val="24"/>
          <w:highlight w:val="none"/>
        </w:rPr>
      </w:pPr>
    </w:p>
    <w:p>
      <w:pPr>
        <w:pStyle w:val="5"/>
        <w:rPr>
          <w:rFonts w:hint="eastAsia" w:ascii="宋体" w:hAnsi="宋体" w:eastAsia="宋体" w:cs="宋体"/>
          <w:sz w:val="24"/>
          <w:highlight w:val="none"/>
        </w:rPr>
      </w:pPr>
    </w:p>
    <w:p>
      <w:pPr>
        <w:pStyle w:val="5"/>
        <w:rPr>
          <w:rFonts w:hint="eastAsia" w:ascii="宋体" w:hAnsi="宋体" w:eastAsia="宋体" w:cs="宋体"/>
          <w:sz w:val="24"/>
          <w:highlight w:val="none"/>
        </w:rPr>
      </w:pPr>
    </w:p>
    <w:p>
      <w:pPr>
        <w:pStyle w:val="5"/>
        <w:wordWrap w:val="0"/>
        <w:jc w:val="righ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华采招标集团有限公司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</w:t>
      </w:r>
    </w:p>
    <w:p>
      <w:pPr>
        <w:pStyle w:val="5"/>
        <w:wordWrap w:val="0"/>
        <w:jc w:val="right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2024年06月04日   </w:t>
      </w:r>
    </w:p>
    <w:p>
      <w:pPr>
        <w:pStyle w:val="5"/>
        <w:wordWrap/>
        <w:jc w:val="right"/>
        <w:rPr>
          <w:rFonts w:hint="eastAsia" w:ascii="宋体" w:hAnsi="宋体" w:cs="宋体"/>
          <w:sz w:val="24"/>
          <w:highlight w:val="none"/>
          <w:lang w:val="en-US" w:eastAsia="zh-CN"/>
        </w:rPr>
      </w:pPr>
    </w:p>
    <w:p>
      <w:pPr>
        <w:pStyle w:val="5"/>
        <w:wordWrap/>
        <w:jc w:val="left"/>
        <w:rPr>
          <w:rFonts w:hint="default" w:ascii="宋体" w:hAnsi="宋体" w:cs="宋体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GEwZDI3OWE3ZGNlOGI5NjMwMjVjMTQzNmVjNzEifQ=="/>
  </w:docVars>
  <w:rsids>
    <w:rsidRoot w:val="00000000"/>
    <w:rsid w:val="214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2024-06-04T07:53:22Z</dcterms:created>
  <dc:creator>华采第二会议室</dc:creator>
  <cp:lastModifiedBy>M</cp:lastModifiedBy>
  <dcterms:modified xsi:type="dcterms:W3CDTF">2024-06-04T07:59:41Z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44AC7B1551784860B4A862810CCEEB13_12</vt:lpwstr>
  </property>
</Properties>
</file>