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28"/>
          <w:szCs w:val="36"/>
          <w:u w:val="none"/>
          <w:lang w:eastAsia="zh-CN"/>
        </w:rPr>
      </w:pPr>
      <w:r>
        <w:rPr>
          <w:rFonts w:hint="eastAsia"/>
          <w:b/>
          <w:bCs/>
          <w:sz w:val="28"/>
          <w:szCs w:val="36"/>
          <w:u w:val="none"/>
        </w:rPr>
        <w:t>华北电力大学燃煤火电厂DCS仿真演示系统</w:t>
      </w:r>
      <w:r>
        <w:rPr>
          <w:rFonts w:hint="eastAsia"/>
          <w:b/>
          <w:bCs/>
          <w:sz w:val="28"/>
          <w:szCs w:val="36"/>
          <w:u w:val="none"/>
          <w:lang w:eastAsia="zh-CN"/>
        </w:rPr>
        <w:t>（</w:t>
      </w:r>
      <w:r>
        <w:rPr>
          <w:rFonts w:hint="eastAsia"/>
          <w:b/>
          <w:bCs/>
          <w:sz w:val="28"/>
          <w:szCs w:val="36"/>
          <w:u w:val="none"/>
          <w:lang w:val="en-US" w:eastAsia="zh-CN"/>
        </w:rPr>
        <w:t>第二次</w:t>
      </w:r>
      <w:bookmarkStart w:id="30" w:name="_GoBack"/>
      <w:bookmarkEnd w:id="30"/>
      <w:r>
        <w:rPr>
          <w:rFonts w:hint="eastAsia"/>
          <w:b/>
          <w:bCs/>
          <w:sz w:val="28"/>
          <w:szCs w:val="36"/>
          <w:u w:val="none"/>
          <w:lang w:eastAsia="zh-CN"/>
        </w:rPr>
        <w:t>）</w:t>
      </w:r>
    </w:p>
    <w:p>
      <w:pPr>
        <w:jc w:val="center"/>
        <w:rPr>
          <w:rFonts w:hint="default" w:eastAsia="宋体"/>
          <w:b/>
          <w:bCs/>
          <w:sz w:val="28"/>
          <w:szCs w:val="36"/>
          <w:u w:val="none"/>
          <w:lang w:val="en-US" w:eastAsia="zh-CN"/>
        </w:rPr>
      </w:pPr>
      <w:r>
        <w:rPr>
          <w:rFonts w:hint="eastAsia"/>
          <w:b/>
          <w:bCs/>
          <w:sz w:val="28"/>
          <w:szCs w:val="36"/>
          <w:u w:val="none"/>
          <w:lang w:val="en-US" w:eastAsia="zh-CN"/>
        </w:rPr>
        <w:t>竞争性磋商公告</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ind w:firstLine="480"/>
              <w:rPr>
                <w:rFonts w:hint="eastAsia" w:ascii="宋体" w:hAnsi="宋体" w:eastAsia="宋体" w:cs="宋体"/>
                <w:sz w:val="24"/>
                <w:szCs w:val="24"/>
              </w:rPr>
            </w:pPr>
            <w:r>
              <w:rPr>
                <w:rFonts w:hint="eastAsia" w:ascii="宋体" w:hAnsi="宋体" w:eastAsia="宋体" w:cs="宋体"/>
                <w:sz w:val="24"/>
                <w:szCs w:val="24"/>
              </w:rPr>
              <w:t>项目概况</w:t>
            </w:r>
          </w:p>
          <w:p>
            <w:pPr>
              <w:pStyle w:val="2"/>
              <w:ind w:firstLine="480"/>
              <w:rPr>
                <w:rFonts w:hint="eastAsia" w:ascii="宋体" w:hAnsi="宋体" w:eastAsia="宋体" w:cs="宋体"/>
                <w:sz w:val="24"/>
                <w:szCs w:val="24"/>
              </w:rPr>
            </w:pPr>
            <w:r>
              <w:rPr>
                <w:rFonts w:hint="eastAsia" w:ascii="宋体" w:hAnsi="宋体" w:eastAsia="宋体" w:cs="宋体"/>
                <w:sz w:val="24"/>
                <w:szCs w:val="24"/>
                <w:u w:val="single"/>
              </w:rPr>
              <w:t xml:space="preserve">(华北电力大学燃煤火电厂DCS仿真演示系统) </w:t>
            </w:r>
            <w:r>
              <w:rPr>
                <w:rFonts w:hint="eastAsia" w:ascii="宋体" w:hAnsi="宋体" w:eastAsia="宋体" w:cs="宋体"/>
                <w:sz w:val="24"/>
                <w:szCs w:val="24"/>
              </w:rPr>
              <w:t>采购项目的潜在供应商应在</w:t>
            </w:r>
            <w:r>
              <w:rPr>
                <w:rFonts w:hint="eastAsia" w:ascii="宋体" w:hAnsi="宋体" w:eastAsia="宋体" w:cs="宋体"/>
                <w:sz w:val="24"/>
                <w:szCs w:val="24"/>
                <w:u w:val="single"/>
              </w:rPr>
              <w:t>（北京市海淀区中关村东路18号财智国际大厦C座20层C2010室）</w:t>
            </w:r>
            <w:r>
              <w:rPr>
                <w:rFonts w:hint="eastAsia" w:ascii="宋体" w:hAnsi="宋体" w:eastAsia="宋体" w:cs="宋体"/>
                <w:sz w:val="24"/>
                <w:szCs w:val="24"/>
              </w:rPr>
              <w:t>获取采购文件，并于</w:t>
            </w:r>
            <w:r>
              <w:rPr>
                <w:rFonts w:hint="eastAsia" w:ascii="宋体" w:hAnsi="宋体" w:eastAsia="宋体" w:cs="宋体"/>
                <w:sz w:val="24"/>
                <w:szCs w:val="24"/>
                <w:u w:val="single"/>
              </w:rPr>
              <w:t>2023年7月18</w:t>
            </w:r>
            <w:r>
              <w:rPr>
                <w:rFonts w:hint="eastAsia" w:ascii="宋体" w:hAnsi="宋体" w:eastAsia="宋体" w:cs="宋体"/>
                <w:sz w:val="24"/>
                <w:szCs w:val="24"/>
                <w:u w:val="single"/>
                <w:lang w:val="en-US" w:eastAsia="zh-CN"/>
              </w:rPr>
              <w:t>日</w:t>
            </w:r>
            <w:r>
              <w:rPr>
                <w:rFonts w:hint="eastAsia" w:ascii="宋体" w:hAnsi="宋体" w:eastAsia="宋体" w:cs="宋体"/>
                <w:sz w:val="24"/>
                <w:szCs w:val="24"/>
                <w:u w:val="single"/>
              </w:rPr>
              <w:t>下午15</w:t>
            </w:r>
            <w:r>
              <w:rPr>
                <w:rFonts w:hint="eastAsia" w:ascii="宋体" w:hAnsi="宋体" w:eastAsia="宋体" w:cs="宋体"/>
                <w:sz w:val="24"/>
                <w:szCs w:val="24"/>
                <w:u w:val="single"/>
                <w:lang w:val="en-US" w:eastAsia="zh-CN"/>
              </w:rPr>
              <w:t>:</w:t>
            </w:r>
            <w:r>
              <w:rPr>
                <w:rFonts w:hint="eastAsia" w:ascii="宋体" w:hAnsi="宋体" w:eastAsia="宋体" w:cs="宋体"/>
                <w:sz w:val="24"/>
                <w:szCs w:val="24"/>
                <w:u w:val="single"/>
              </w:rPr>
              <w:t>30</w:t>
            </w:r>
            <w:r>
              <w:rPr>
                <w:rFonts w:hint="eastAsia" w:ascii="宋体" w:hAnsi="宋体" w:eastAsia="宋体" w:cs="宋体"/>
                <w:sz w:val="24"/>
                <w:szCs w:val="24"/>
              </w:rPr>
              <w:t>（北京时间）前递交响应文件。</w:t>
            </w:r>
          </w:p>
        </w:tc>
      </w:tr>
    </w:tbl>
    <w:p>
      <w:pPr>
        <w:pStyle w:val="2"/>
        <w:ind w:firstLine="0" w:firstLineChars="0"/>
        <w:rPr>
          <w:rFonts w:hint="eastAsia" w:ascii="宋体" w:hAnsi="宋体" w:eastAsia="宋体" w:cs="宋体"/>
          <w:sz w:val="24"/>
          <w:szCs w:val="24"/>
        </w:rPr>
      </w:pPr>
    </w:p>
    <w:p>
      <w:pPr>
        <w:widowControl/>
        <w:spacing w:line="360" w:lineRule="auto"/>
        <w:rPr>
          <w:rFonts w:hint="eastAsia" w:ascii="宋体" w:hAnsi="宋体" w:eastAsia="宋体" w:cs="宋体"/>
          <w:b/>
          <w:bCs/>
          <w:sz w:val="24"/>
          <w:szCs w:val="24"/>
        </w:rPr>
      </w:pPr>
      <w:bookmarkStart w:id="0" w:name="_Toc35393629"/>
      <w:bookmarkStart w:id="1" w:name="_Toc28359012"/>
      <w:bookmarkStart w:id="2" w:name="_Toc35393798"/>
      <w:bookmarkStart w:id="3" w:name="_Toc28359089"/>
      <w:r>
        <w:rPr>
          <w:rFonts w:hint="eastAsia" w:ascii="宋体" w:hAnsi="宋体" w:eastAsia="宋体" w:cs="宋体"/>
          <w:b/>
          <w:bCs/>
          <w:sz w:val="24"/>
          <w:szCs w:val="24"/>
        </w:rPr>
        <w:t>一、项目基本情况</w:t>
      </w:r>
      <w:bookmarkEnd w:id="0"/>
      <w:bookmarkEnd w:id="1"/>
      <w:bookmarkEnd w:id="2"/>
      <w:bookmarkEnd w:id="3"/>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 xml:space="preserve">项目代理编号：HCZB-2023-ZB0789  </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项目名称：华北电力大学燃煤火电厂DCS仿真演示系统</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采购方式：竞争性磋商</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预算金额：98万元</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采购需求：燃煤火电厂DCS仿真演示系统采购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具体内容详见采购清单附件</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合同履行期限：自合同签订生效后开始至双方合同义务完全履行后截止</w:t>
      </w:r>
    </w:p>
    <w:p>
      <w:pPr>
        <w:widowControl/>
        <w:spacing w:line="360" w:lineRule="auto"/>
        <w:rPr>
          <w:rFonts w:hint="eastAsia" w:ascii="宋体" w:hAnsi="宋体" w:eastAsia="宋体" w:cs="宋体"/>
          <w:b/>
          <w:bCs/>
          <w:sz w:val="24"/>
          <w:szCs w:val="24"/>
        </w:rPr>
      </w:pPr>
      <w:bookmarkStart w:id="4" w:name="_Toc35393630"/>
      <w:bookmarkStart w:id="5" w:name="_Toc28359090"/>
      <w:bookmarkStart w:id="6" w:name="_Toc28359013"/>
      <w:bookmarkStart w:id="7" w:name="_Toc35393799"/>
      <w:r>
        <w:rPr>
          <w:rFonts w:hint="eastAsia" w:ascii="宋体" w:hAnsi="宋体" w:eastAsia="宋体" w:cs="宋体"/>
          <w:b/>
          <w:bCs/>
          <w:sz w:val="24"/>
          <w:szCs w:val="24"/>
        </w:rPr>
        <w:t>二、申请人的资格要求：</w:t>
      </w:r>
      <w:bookmarkEnd w:id="4"/>
      <w:bookmarkEnd w:id="5"/>
      <w:bookmarkEnd w:id="6"/>
      <w:bookmarkEnd w:id="7"/>
    </w:p>
    <w:p>
      <w:pPr>
        <w:spacing w:line="360" w:lineRule="auto"/>
        <w:rPr>
          <w:rFonts w:hint="eastAsia" w:ascii="宋体" w:hAnsi="宋体" w:eastAsia="宋体" w:cs="宋体"/>
          <w:sz w:val="24"/>
          <w:szCs w:val="24"/>
        </w:rPr>
      </w:pPr>
      <w:bookmarkStart w:id="8" w:name="_Toc28359014"/>
      <w:bookmarkStart w:id="9" w:name="_Toc28359091"/>
      <w:r>
        <w:rPr>
          <w:rFonts w:hint="eastAsia" w:ascii="宋体" w:hAnsi="宋体" w:eastAsia="宋体" w:cs="宋体"/>
          <w:sz w:val="24"/>
          <w:szCs w:val="24"/>
        </w:rPr>
        <w:t>1.满足《中华人民共和国政府采购法》第二十二条规定：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本项目不专门面向中小、微型企业（监狱、戒毒企业、残疾人福利性单位视同小微企业）采购。</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（一）本项目不接受联合体磋商。</w:t>
      </w:r>
    </w:p>
    <w:p>
      <w:pPr>
        <w:spacing w:line="360" w:lineRule="auto"/>
        <w:rPr>
          <w:rFonts w:hint="eastAsia" w:ascii="宋体" w:hAnsi="宋体" w:eastAsia="宋体" w:cs="宋体"/>
          <w:sz w:val="24"/>
          <w:szCs w:val="24"/>
        </w:rPr>
      </w:pPr>
      <w:r>
        <w:rPr>
          <w:rFonts w:hint="eastAsia" w:ascii="宋体" w:hAnsi="宋体" w:eastAsia="宋体" w:cs="宋体"/>
          <w:sz w:val="24"/>
          <w:szCs w:val="24"/>
        </w:rPr>
        <w:t>（二）法律、行政法规规定的其他条件：</w:t>
      </w:r>
    </w:p>
    <w:p>
      <w:pPr>
        <w:spacing w:line="360" w:lineRule="auto"/>
        <w:rPr>
          <w:rFonts w:hint="eastAsia" w:ascii="宋体" w:hAnsi="宋体" w:eastAsia="宋体" w:cs="宋体"/>
          <w:sz w:val="24"/>
          <w:szCs w:val="24"/>
        </w:rPr>
      </w:pPr>
      <w:r>
        <w:rPr>
          <w:rFonts w:hint="eastAsia" w:ascii="宋体" w:hAnsi="宋体" w:eastAsia="宋体" w:cs="宋体"/>
          <w:sz w:val="24"/>
          <w:szCs w:val="24"/>
        </w:rPr>
        <w:t>（1）供应商必须通过“信用中国”网站（www.creditchina.gov.cn）和中国政府采购网（www.ccgp.gov.cn）查询信用记录（截止时间点为投标截止时间）；被列入失信被执行人、重大税收违法案件当事人名单或政府采购严重违法失信行为记录名单的供应商，不得参加本项目的采购活动；</w:t>
      </w:r>
    </w:p>
    <w:p>
      <w:pPr>
        <w:spacing w:line="360" w:lineRule="auto"/>
        <w:rPr>
          <w:rFonts w:hint="eastAsia" w:ascii="宋体" w:hAnsi="宋体" w:eastAsia="宋体" w:cs="宋体"/>
          <w:sz w:val="24"/>
          <w:szCs w:val="24"/>
        </w:rPr>
      </w:pPr>
      <w:r>
        <w:rPr>
          <w:rFonts w:hint="eastAsia" w:ascii="宋体" w:hAnsi="宋体" w:eastAsia="宋体" w:cs="宋体"/>
          <w:sz w:val="24"/>
          <w:szCs w:val="24"/>
        </w:rPr>
        <w:t>（2）不同供应商的法人、单位负责人不是同一人也不存在直接控股、管理关系；</w:t>
      </w:r>
    </w:p>
    <w:p>
      <w:pPr>
        <w:spacing w:line="360" w:lineRule="auto"/>
        <w:rPr>
          <w:rFonts w:hint="eastAsia" w:ascii="宋体" w:hAnsi="宋体" w:eastAsia="宋体" w:cs="宋体"/>
          <w:sz w:val="24"/>
          <w:szCs w:val="24"/>
        </w:rPr>
      </w:pPr>
      <w:r>
        <w:rPr>
          <w:rFonts w:hint="eastAsia" w:ascii="宋体" w:hAnsi="宋体" w:eastAsia="宋体" w:cs="宋体"/>
          <w:sz w:val="24"/>
          <w:szCs w:val="24"/>
        </w:rPr>
        <w:t>（3）供应商必须向采购代理机构购买磋商文件并登记备案，未向采购代理机构购买磋商文件并登记备案的无资格参加本次磋商。</w:t>
      </w:r>
    </w:p>
    <w:p>
      <w:pPr>
        <w:spacing w:line="360" w:lineRule="auto"/>
        <w:rPr>
          <w:rFonts w:hint="eastAsia" w:ascii="宋体" w:hAnsi="宋体" w:eastAsia="宋体" w:cs="宋体"/>
          <w:sz w:val="24"/>
          <w:szCs w:val="24"/>
        </w:rPr>
      </w:pPr>
      <w:r>
        <w:rPr>
          <w:rFonts w:hint="eastAsia" w:ascii="宋体" w:hAnsi="宋体" w:eastAsia="宋体" w:cs="宋体"/>
          <w:sz w:val="24"/>
          <w:szCs w:val="24"/>
        </w:rPr>
        <w:t>（4）本项目接受进口产品。</w:t>
      </w:r>
    </w:p>
    <w:p>
      <w:pPr>
        <w:widowControl/>
        <w:spacing w:line="360" w:lineRule="auto"/>
        <w:rPr>
          <w:rFonts w:hint="eastAsia" w:ascii="宋体" w:hAnsi="宋体" w:eastAsia="宋体" w:cs="宋体"/>
          <w:b/>
          <w:bCs/>
          <w:sz w:val="24"/>
          <w:szCs w:val="24"/>
        </w:rPr>
      </w:pPr>
      <w:bookmarkStart w:id="10" w:name="_Toc35393800"/>
      <w:bookmarkStart w:id="11" w:name="_Toc35393631"/>
      <w:r>
        <w:rPr>
          <w:rFonts w:hint="eastAsia" w:ascii="宋体" w:hAnsi="宋体" w:eastAsia="宋体" w:cs="宋体"/>
          <w:b/>
          <w:bCs/>
          <w:sz w:val="24"/>
          <w:szCs w:val="24"/>
        </w:rPr>
        <w:t>三、获取采购文件</w:t>
      </w:r>
      <w:bookmarkEnd w:id="8"/>
      <w:bookmarkEnd w:id="9"/>
      <w:bookmarkEnd w:id="10"/>
      <w:bookmarkEnd w:id="11"/>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时间：2023年7月</w:t>
      </w:r>
      <w:r>
        <w:rPr>
          <w:rFonts w:hint="eastAsia" w:ascii="宋体" w:hAnsi="宋体" w:eastAsia="宋体" w:cs="宋体"/>
          <w:sz w:val="24"/>
          <w:szCs w:val="24"/>
          <w:lang w:val="en-US" w:eastAsia="zh-CN"/>
        </w:rPr>
        <w:t>7</w:t>
      </w:r>
      <w:r>
        <w:rPr>
          <w:rFonts w:hint="eastAsia" w:ascii="宋体" w:hAnsi="宋体" w:eastAsia="宋体" w:cs="宋体"/>
          <w:sz w:val="24"/>
          <w:szCs w:val="24"/>
        </w:rPr>
        <w:t>日至2023年7月</w:t>
      </w:r>
      <w:r>
        <w:rPr>
          <w:rFonts w:hint="eastAsia" w:ascii="宋体" w:hAnsi="宋体" w:eastAsia="宋体" w:cs="宋体"/>
          <w:sz w:val="24"/>
          <w:szCs w:val="24"/>
          <w:lang w:val="en-US" w:eastAsia="zh-CN"/>
        </w:rPr>
        <w:t>14</w:t>
      </w:r>
      <w:r>
        <w:rPr>
          <w:rFonts w:hint="eastAsia" w:ascii="宋体" w:hAnsi="宋体" w:eastAsia="宋体" w:cs="宋体"/>
          <w:sz w:val="24"/>
          <w:szCs w:val="24"/>
        </w:rPr>
        <w:t>日，每天上午9:00至12:00，下午13:00至17:00（北京时间，法定节假日除外 ）</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地点：北京市海淀区中关村东路18号财智国际大厦C座20层C2010室</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方式：现场获取，无需提供资料</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售价：500元人民币/本，招标文件售后不退。</w:t>
      </w:r>
    </w:p>
    <w:p>
      <w:pPr>
        <w:widowControl/>
        <w:spacing w:line="360" w:lineRule="auto"/>
        <w:rPr>
          <w:rFonts w:hint="eastAsia" w:ascii="宋体" w:hAnsi="宋体" w:eastAsia="宋体" w:cs="宋体"/>
          <w:b/>
          <w:bCs/>
          <w:sz w:val="24"/>
          <w:szCs w:val="24"/>
        </w:rPr>
      </w:pPr>
      <w:bookmarkStart w:id="12" w:name="_Toc35393801"/>
      <w:bookmarkStart w:id="13" w:name="_Toc28359092"/>
      <w:bookmarkStart w:id="14" w:name="_Toc28359015"/>
      <w:bookmarkStart w:id="15" w:name="_Toc35393632"/>
      <w:r>
        <w:rPr>
          <w:rFonts w:hint="eastAsia" w:ascii="宋体" w:hAnsi="宋体" w:eastAsia="宋体" w:cs="宋体"/>
          <w:b/>
          <w:bCs/>
          <w:sz w:val="24"/>
          <w:szCs w:val="24"/>
        </w:rPr>
        <w:t>四、响应文件提交</w:t>
      </w:r>
      <w:bookmarkEnd w:id="12"/>
      <w:bookmarkEnd w:id="13"/>
      <w:bookmarkEnd w:id="14"/>
      <w:bookmarkEnd w:id="15"/>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截止时间：</w:t>
      </w:r>
      <w:r>
        <w:rPr>
          <w:rFonts w:hint="eastAsia" w:ascii="宋体" w:hAnsi="宋体" w:eastAsia="宋体" w:cs="宋体"/>
          <w:sz w:val="24"/>
          <w:szCs w:val="24"/>
          <w:u w:val="none"/>
        </w:rPr>
        <w:t>2023年7月18</w:t>
      </w:r>
      <w:r>
        <w:rPr>
          <w:rFonts w:hint="eastAsia" w:ascii="宋体" w:hAnsi="宋体" w:eastAsia="宋体" w:cs="宋体"/>
          <w:sz w:val="24"/>
          <w:szCs w:val="24"/>
          <w:u w:val="none"/>
          <w:lang w:val="en-US" w:eastAsia="zh-CN"/>
        </w:rPr>
        <w:t>日</w:t>
      </w:r>
      <w:r>
        <w:rPr>
          <w:rFonts w:hint="eastAsia" w:ascii="宋体" w:hAnsi="宋体" w:eastAsia="宋体" w:cs="宋体"/>
          <w:sz w:val="24"/>
          <w:szCs w:val="24"/>
          <w:u w:val="none"/>
        </w:rPr>
        <w:t>下午15</w:t>
      </w:r>
      <w:r>
        <w:rPr>
          <w:rFonts w:hint="eastAsia" w:ascii="宋体" w:hAnsi="宋体" w:eastAsia="宋体" w:cs="宋体"/>
          <w:sz w:val="24"/>
          <w:szCs w:val="24"/>
          <w:u w:val="none"/>
          <w:lang w:val="en-US" w:eastAsia="zh-CN"/>
        </w:rPr>
        <w:t>:</w:t>
      </w:r>
      <w:r>
        <w:rPr>
          <w:rFonts w:hint="eastAsia" w:ascii="宋体" w:hAnsi="宋体" w:eastAsia="宋体" w:cs="宋体"/>
          <w:sz w:val="24"/>
          <w:szCs w:val="24"/>
          <w:u w:val="none"/>
        </w:rPr>
        <w:t>30</w:t>
      </w:r>
      <w:r>
        <w:rPr>
          <w:rFonts w:hint="eastAsia" w:ascii="宋体" w:hAnsi="宋体" w:eastAsia="宋体" w:cs="宋体"/>
          <w:sz w:val="24"/>
          <w:szCs w:val="24"/>
        </w:rPr>
        <w:t>（北京时间）</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rPr>
        <w:t>北京市丰台区广安路9号国投财富广场6号楼</w:t>
      </w:r>
      <w:r>
        <w:rPr>
          <w:rFonts w:hint="eastAsia" w:ascii="宋体" w:hAnsi="宋体" w:cs="宋体"/>
          <w:sz w:val="24"/>
          <w:szCs w:val="24"/>
          <w:lang w:val="en-US" w:eastAsia="zh-CN"/>
        </w:rPr>
        <w:t>15层</w:t>
      </w:r>
      <w:r>
        <w:rPr>
          <w:rFonts w:hint="eastAsia" w:ascii="宋体" w:hAnsi="宋体" w:eastAsia="宋体" w:cs="宋体"/>
          <w:sz w:val="24"/>
          <w:szCs w:val="24"/>
        </w:rPr>
        <w:t>第四会议室。</w:t>
      </w:r>
    </w:p>
    <w:p>
      <w:pPr>
        <w:widowControl/>
        <w:spacing w:line="360" w:lineRule="auto"/>
        <w:rPr>
          <w:rFonts w:hint="eastAsia" w:ascii="宋体" w:hAnsi="宋体" w:eastAsia="宋体" w:cs="宋体"/>
          <w:b/>
          <w:bCs/>
          <w:sz w:val="24"/>
          <w:szCs w:val="24"/>
        </w:rPr>
      </w:pPr>
      <w:bookmarkStart w:id="16" w:name="_Toc35393633"/>
      <w:bookmarkStart w:id="17" w:name="_Toc35393802"/>
      <w:bookmarkStart w:id="18" w:name="_Toc28359016"/>
      <w:bookmarkStart w:id="19" w:name="_Toc28359093"/>
      <w:r>
        <w:rPr>
          <w:rFonts w:hint="eastAsia" w:ascii="宋体" w:hAnsi="宋体" w:eastAsia="宋体" w:cs="宋体"/>
          <w:b/>
          <w:bCs/>
          <w:sz w:val="24"/>
          <w:szCs w:val="24"/>
        </w:rPr>
        <w:t>五、开启</w:t>
      </w:r>
      <w:bookmarkEnd w:id="16"/>
      <w:bookmarkEnd w:id="17"/>
      <w:bookmarkEnd w:id="18"/>
      <w:bookmarkEnd w:id="19"/>
      <w:r>
        <w:rPr>
          <w:rFonts w:hint="eastAsia" w:ascii="宋体" w:hAnsi="宋体" w:eastAsia="宋体" w:cs="宋体"/>
          <w:b/>
          <w:bCs/>
          <w:sz w:val="24"/>
          <w:szCs w:val="24"/>
        </w:rPr>
        <w:t xml:space="preserve"> </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u w:val="none"/>
        </w:rPr>
        <w:t>2023年7月18</w:t>
      </w:r>
      <w:r>
        <w:rPr>
          <w:rFonts w:hint="eastAsia" w:ascii="宋体" w:hAnsi="宋体" w:eastAsia="宋体" w:cs="宋体"/>
          <w:sz w:val="24"/>
          <w:szCs w:val="24"/>
          <w:u w:val="none"/>
          <w:lang w:val="en-US" w:eastAsia="zh-CN"/>
        </w:rPr>
        <w:t>日</w:t>
      </w:r>
      <w:r>
        <w:rPr>
          <w:rFonts w:hint="eastAsia" w:ascii="宋体" w:hAnsi="宋体" w:eastAsia="宋体" w:cs="宋体"/>
          <w:sz w:val="24"/>
          <w:szCs w:val="24"/>
          <w:u w:val="none"/>
        </w:rPr>
        <w:t>下午15</w:t>
      </w:r>
      <w:r>
        <w:rPr>
          <w:rFonts w:hint="eastAsia" w:ascii="宋体" w:hAnsi="宋体" w:eastAsia="宋体" w:cs="宋体"/>
          <w:sz w:val="24"/>
          <w:szCs w:val="24"/>
          <w:u w:val="none"/>
          <w:lang w:val="en-US" w:eastAsia="zh-CN"/>
        </w:rPr>
        <w:t>:</w:t>
      </w:r>
      <w:r>
        <w:rPr>
          <w:rFonts w:hint="eastAsia" w:ascii="宋体" w:hAnsi="宋体" w:eastAsia="宋体" w:cs="宋体"/>
          <w:sz w:val="24"/>
          <w:szCs w:val="24"/>
          <w:u w:val="none"/>
        </w:rPr>
        <w:t>30</w:t>
      </w:r>
      <w:r>
        <w:rPr>
          <w:rFonts w:hint="eastAsia" w:ascii="宋体" w:hAnsi="宋体" w:eastAsia="宋体" w:cs="宋体"/>
          <w:sz w:val="24"/>
          <w:szCs w:val="24"/>
        </w:rPr>
        <w:t>（北京时间）</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rPr>
        <w:t>北京市丰台区广安路9号国投财富广场6号楼</w:t>
      </w:r>
      <w:r>
        <w:rPr>
          <w:rFonts w:hint="eastAsia" w:ascii="宋体" w:hAnsi="宋体" w:cs="宋体"/>
          <w:sz w:val="24"/>
          <w:szCs w:val="24"/>
          <w:lang w:val="en-US" w:eastAsia="zh-CN"/>
        </w:rPr>
        <w:t>15层</w:t>
      </w:r>
      <w:r>
        <w:rPr>
          <w:rFonts w:hint="eastAsia" w:ascii="宋体" w:hAnsi="宋体" w:eastAsia="宋体" w:cs="宋体"/>
          <w:sz w:val="24"/>
          <w:szCs w:val="24"/>
        </w:rPr>
        <w:t>第四会议室</w:t>
      </w:r>
      <w:r>
        <w:rPr>
          <w:rFonts w:hint="eastAsia" w:ascii="宋体" w:hAnsi="宋体" w:eastAsia="宋体" w:cs="宋体"/>
          <w:sz w:val="24"/>
          <w:szCs w:val="24"/>
        </w:rPr>
        <w:t>。</w:t>
      </w:r>
    </w:p>
    <w:p>
      <w:pPr>
        <w:widowControl/>
        <w:spacing w:line="360" w:lineRule="auto"/>
        <w:rPr>
          <w:rFonts w:hint="eastAsia" w:ascii="宋体" w:hAnsi="宋体" w:eastAsia="宋体" w:cs="宋体"/>
          <w:b/>
          <w:bCs/>
          <w:sz w:val="24"/>
          <w:szCs w:val="24"/>
        </w:rPr>
      </w:pPr>
      <w:bookmarkStart w:id="20" w:name="_Toc28359094"/>
      <w:bookmarkStart w:id="21" w:name="_Toc35393634"/>
      <w:bookmarkStart w:id="22" w:name="_Toc28359017"/>
      <w:bookmarkStart w:id="23" w:name="_Toc35393803"/>
      <w:r>
        <w:rPr>
          <w:rFonts w:hint="eastAsia" w:ascii="宋体" w:hAnsi="宋体" w:eastAsia="宋体" w:cs="宋体"/>
          <w:b/>
          <w:bCs/>
          <w:sz w:val="24"/>
          <w:szCs w:val="24"/>
        </w:rPr>
        <w:t>六、公告期限</w:t>
      </w:r>
      <w:bookmarkEnd w:id="20"/>
      <w:bookmarkEnd w:id="21"/>
      <w:bookmarkEnd w:id="22"/>
      <w:bookmarkEnd w:id="23"/>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widowControl/>
        <w:spacing w:line="360" w:lineRule="auto"/>
        <w:rPr>
          <w:rFonts w:hint="eastAsia" w:ascii="宋体" w:hAnsi="宋体" w:eastAsia="宋体" w:cs="宋体"/>
          <w:b/>
          <w:bCs/>
          <w:sz w:val="24"/>
          <w:szCs w:val="24"/>
        </w:rPr>
      </w:pPr>
      <w:bookmarkStart w:id="24" w:name="_Toc35393635"/>
      <w:bookmarkStart w:id="25" w:name="_Toc35393804"/>
      <w:r>
        <w:rPr>
          <w:rFonts w:hint="eastAsia" w:ascii="宋体" w:hAnsi="宋体" w:eastAsia="宋体" w:cs="宋体"/>
          <w:b/>
          <w:bCs/>
          <w:sz w:val="24"/>
          <w:szCs w:val="24"/>
        </w:rPr>
        <w:t>七、其他补充事宜</w:t>
      </w:r>
      <w:bookmarkEnd w:id="24"/>
      <w:bookmarkEnd w:id="25"/>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1、本项目需要落实的政府采购政策：节约能源、保护环境、扶持不发达地区和少数民族地区、促进中小微企业发展、支持监狱、戒毒企业发展、促进残疾人就业、优先采购贫困地区农副产品等政府采购政策。</w:t>
      </w:r>
    </w:p>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2、本竞争性磋商公告在中国政府采购网上发布。</w:t>
      </w:r>
    </w:p>
    <w:p>
      <w:pPr>
        <w:widowControl/>
        <w:spacing w:line="360" w:lineRule="auto"/>
        <w:rPr>
          <w:rFonts w:hint="eastAsia" w:ascii="宋体" w:hAnsi="宋体" w:eastAsia="宋体" w:cs="宋体"/>
          <w:b/>
          <w:bCs/>
          <w:sz w:val="24"/>
          <w:szCs w:val="24"/>
        </w:rPr>
      </w:pPr>
      <w:bookmarkStart w:id="26" w:name="_Toc28359018"/>
      <w:bookmarkStart w:id="27" w:name="_Toc35393636"/>
      <w:bookmarkStart w:id="28" w:name="_Toc28359095"/>
      <w:bookmarkStart w:id="29" w:name="_Toc35393805"/>
      <w:r>
        <w:rPr>
          <w:rFonts w:hint="eastAsia" w:ascii="宋体" w:hAnsi="宋体" w:eastAsia="宋体" w:cs="宋体"/>
          <w:b/>
          <w:bCs/>
          <w:sz w:val="24"/>
          <w:szCs w:val="24"/>
        </w:rPr>
        <w:t>八、凡对本次采购提出询问，请按以下方式联系。</w:t>
      </w:r>
      <w:bookmarkEnd w:id="26"/>
      <w:bookmarkEnd w:id="27"/>
      <w:bookmarkEnd w:id="28"/>
      <w:bookmarkEnd w:id="29"/>
    </w:p>
    <w:p>
      <w:pPr>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名 称：华北电力大学</w:t>
      </w:r>
    </w:p>
    <w:p>
      <w:pPr>
        <w:spacing w:line="360" w:lineRule="auto"/>
        <w:rPr>
          <w:rFonts w:hint="eastAsia" w:ascii="宋体" w:hAnsi="宋体" w:eastAsia="宋体" w:cs="宋体"/>
          <w:sz w:val="24"/>
          <w:szCs w:val="24"/>
        </w:rPr>
      </w:pPr>
      <w:r>
        <w:rPr>
          <w:rFonts w:hint="eastAsia" w:ascii="宋体" w:hAnsi="宋体" w:eastAsia="宋体" w:cs="宋体"/>
          <w:sz w:val="24"/>
          <w:szCs w:val="24"/>
        </w:rPr>
        <w:t>地 址：北京市昌平区回龙观北农路2号</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联系方式：张老师 010-61772996</w:t>
      </w:r>
    </w:p>
    <w:p>
      <w:pPr>
        <w:spacing w:line="360" w:lineRule="auto"/>
        <w:rPr>
          <w:rFonts w:hint="eastAsia" w:ascii="宋体" w:hAnsi="宋体" w:eastAsia="宋体" w:cs="宋体"/>
          <w:sz w:val="24"/>
          <w:szCs w:val="24"/>
        </w:rPr>
      </w:pPr>
      <w:r>
        <w:rPr>
          <w:rFonts w:hint="eastAsia" w:ascii="宋体" w:hAnsi="宋体" w:eastAsia="宋体" w:cs="宋体"/>
          <w:sz w:val="24"/>
          <w:szCs w:val="24"/>
        </w:rPr>
        <w:t>2、采购代理机构信息</w:t>
      </w:r>
    </w:p>
    <w:p>
      <w:pPr>
        <w:spacing w:line="360" w:lineRule="auto"/>
        <w:rPr>
          <w:rFonts w:hint="eastAsia" w:ascii="宋体" w:hAnsi="宋体" w:eastAsia="宋体" w:cs="宋体"/>
          <w:sz w:val="24"/>
          <w:szCs w:val="24"/>
        </w:rPr>
      </w:pPr>
      <w:r>
        <w:rPr>
          <w:rFonts w:hint="eastAsia" w:ascii="宋体" w:hAnsi="宋体" w:eastAsia="宋体" w:cs="宋体"/>
          <w:sz w:val="24"/>
          <w:szCs w:val="24"/>
        </w:rPr>
        <w:t>名 称：华采招标集团有限公司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地　址：北京市丰台区广安路9号国投财富广场6号楼1601室</w:t>
      </w:r>
    </w:p>
    <w:p>
      <w:pPr>
        <w:spacing w:line="360" w:lineRule="auto"/>
        <w:rPr>
          <w:rFonts w:hint="eastAsia" w:ascii="宋体" w:hAnsi="宋体" w:eastAsia="宋体" w:cs="宋体"/>
          <w:sz w:val="24"/>
          <w:szCs w:val="24"/>
        </w:rPr>
      </w:pPr>
      <w:r>
        <w:rPr>
          <w:rFonts w:hint="eastAsia" w:ascii="宋体" w:hAnsi="宋体" w:eastAsia="宋体" w:cs="宋体"/>
          <w:sz w:val="24"/>
          <w:szCs w:val="24"/>
        </w:rPr>
        <w:t>联系方式：贾东敏、蒲晓芳、姚冲、刘金秀 186-1228-7813/7807</w:t>
      </w:r>
    </w:p>
    <w:p>
      <w:pPr>
        <w:spacing w:line="360" w:lineRule="auto"/>
        <w:rPr>
          <w:rFonts w:hint="eastAsia" w:ascii="宋体" w:hAnsi="宋体" w:eastAsia="宋体" w:cs="宋体"/>
          <w:sz w:val="24"/>
          <w:szCs w:val="24"/>
        </w:rPr>
      </w:pPr>
      <w:r>
        <w:rPr>
          <w:rFonts w:hint="eastAsia" w:ascii="宋体" w:hAnsi="宋体" w:eastAsia="宋体" w:cs="宋体"/>
          <w:sz w:val="24"/>
          <w:szCs w:val="24"/>
        </w:rPr>
        <w:t>3、项目联系方式</w:t>
      </w:r>
    </w:p>
    <w:p>
      <w:pPr>
        <w:spacing w:line="360" w:lineRule="auto"/>
        <w:rPr>
          <w:rFonts w:hint="eastAsia" w:ascii="宋体" w:hAnsi="宋体" w:eastAsia="宋体" w:cs="宋体"/>
          <w:sz w:val="24"/>
          <w:szCs w:val="24"/>
        </w:rPr>
      </w:pPr>
      <w:r>
        <w:rPr>
          <w:rFonts w:hint="eastAsia" w:ascii="宋体" w:hAnsi="宋体" w:eastAsia="宋体" w:cs="宋体"/>
          <w:sz w:val="24"/>
          <w:szCs w:val="24"/>
        </w:rPr>
        <w:t>项目联系人：贾东敏、蒲晓芳、姚冲、刘金秀</w:t>
      </w:r>
    </w:p>
    <w:p>
      <w:pPr>
        <w:pStyle w:val="14"/>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电　话：186-1228-7813/7807</w:t>
      </w:r>
    </w:p>
    <w:p>
      <w:pPr>
        <w:pStyle w:val="14"/>
        <w:ind w:left="0" w:leftChars="0" w:firstLine="0" w:firstLineChars="0"/>
        <w:rPr>
          <w:rFonts w:hint="eastAsia" w:ascii="宋体" w:hAnsi="宋体" w:eastAsia="宋体" w:cs="宋体"/>
          <w:sz w:val="24"/>
          <w:szCs w:val="24"/>
        </w:rPr>
      </w:pPr>
    </w:p>
    <w:p>
      <w:pPr>
        <w:pStyle w:val="14"/>
        <w:ind w:left="0" w:leftChars="0" w:firstLine="0" w:firstLineChars="0"/>
        <w:jc w:val="right"/>
        <w:rPr>
          <w:rFonts w:hint="eastAsia" w:ascii="宋体" w:hAnsi="宋体" w:eastAsia="宋体" w:cs="宋体"/>
          <w:b/>
          <w:bCs/>
          <w:sz w:val="24"/>
          <w:szCs w:val="24"/>
        </w:rPr>
      </w:pPr>
      <w:r>
        <w:rPr>
          <w:rFonts w:hint="eastAsia" w:ascii="宋体" w:hAnsi="宋体" w:eastAsia="宋体" w:cs="宋体"/>
          <w:b/>
          <w:bCs/>
          <w:sz w:val="24"/>
          <w:szCs w:val="24"/>
        </w:rPr>
        <w:t>华采招标集团有限公司</w:t>
      </w:r>
    </w:p>
    <w:p>
      <w:pPr>
        <w:pStyle w:val="14"/>
        <w:ind w:left="0" w:leftChars="0" w:firstLine="0" w:firstLineChars="0"/>
        <w:jc w:val="right"/>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2023年7月7日</w:t>
      </w:r>
    </w:p>
    <w:p>
      <w:pPr>
        <w:pStyle w:val="14"/>
        <w:ind w:left="0" w:leftChars="0" w:firstLine="0" w:firstLineChars="0"/>
        <w:rPr>
          <w:rFonts w:hint="eastAsia" w:ascii="宋体" w:hAnsi="宋体" w:eastAsia="宋体" w:cs="宋体"/>
          <w:sz w:val="24"/>
          <w:szCs w:val="24"/>
          <w:lang w:val="en-US" w:eastAsia="zh-CN"/>
        </w:rPr>
      </w:pPr>
    </w:p>
    <w:p>
      <w:pPr>
        <w:pStyle w:val="14"/>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采购清单附件：</w:t>
      </w:r>
    </w:p>
    <w:tbl>
      <w:tblPr>
        <w:tblStyle w:val="1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2393"/>
        <w:gridCol w:w="859"/>
        <w:gridCol w:w="954"/>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服务器机柜</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 </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600mm（宽）*1000mm（深）*2000mm（高），前后门为网状单开门，安装方式为底部槽钢螺栓安装；颜色：亚光黑 RAL9004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控制器机柜</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 </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800mm（宽）*800mm（深）*2200mm（高），前门为玻璃单开门，后门为钢制双开门，安装方式为底部槽钢螺栓安装；颜色：亚光黑 RAL9004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DCS系统服务器/历史站</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3470"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DCS系统专用，英特尔i5处理器，8G内存，500G硬盘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DCS虚拟控制器服务器</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1 </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3470"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DCS系统专用，英特尔i7处理器，8G内存，500G硬盘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DCS工程师站/操作员站</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3470" w:type="dxa"/>
            <w:vAlign w:val="center"/>
          </w:tcPr>
          <w:p>
            <w:pPr>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DCS系统专用，英特尔i5处理器，8G内存，500G硬盘，27寸高清显示器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DPU</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含底座和配</w:t>
            </w:r>
          </w:p>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r>
              <w:rPr>
                <w:rFonts w:hint="eastAsia" w:ascii="宋体" w:hAnsi="宋体" w:eastAsia="宋体" w:cs="宋体"/>
                <w:kern w:val="0"/>
                <w:sz w:val="24"/>
                <w:szCs w:val="24"/>
                <w:highlight w:val="none"/>
              </w:rPr>
              <w:t>电缆 ,DCS系统专用，OCR1100控制器，Intel Atom Z510 处理器，256MB内存可扩展，1G闪存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交换机</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含专用配置文件和网线，DCS系统专用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电源</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IO　BASE</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模拟量输出板卡</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数字量输出板卡</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模拟量输入板卡</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DCS系统软件</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DCS系统专用，匹配本单位燃煤机组仿真系统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DCS工程师站软件</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DCS系统专用，含OPC SERVER接口，工程师站可同时开放两个组态授权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DCS操作员站软件</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DCS系统专用，匹配本单位燃煤机组仿真系统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DCS历史站软件</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DCS系统专用，匹配本单位燃煤机组仿真系统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DCS虚拟控制器</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DCS系统专用，含20对授权，含硬件狗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8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2393"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必要线路、安装调试培训服务</w:t>
            </w:r>
          </w:p>
        </w:tc>
        <w:tc>
          <w:tcPr>
            <w:tcW w:w="859"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954"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70" w:type="dxa"/>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pStyle w:val="14"/>
        <w:ind w:left="0" w:leftChars="0" w:firstLine="0" w:firstLineChars="0"/>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zY5ZGM0ZjI4NjMyODgxNTM2Mzk0NDdmMWFjM2YifQ=="/>
  </w:docVars>
  <w:rsids>
    <w:rsidRoot w:val="00000000"/>
    <w:rsid w:val="00AC2DC3"/>
    <w:rsid w:val="01220468"/>
    <w:rsid w:val="076072C9"/>
    <w:rsid w:val="081E24F4"/>
    <w:rsid w:val="0C3F6399"/>
    <w:rsid w:val="0DAB6591"/>
    <w:rsid w:val="0E4776CE"/>
    <w:rsid w:val="11D269F3"/>
    <w:rsid w:val="14457F6A"/>
    <w:rsid w:val="1ADB6EC0"/>
    <w:rsid w:val="1D224E97"/>
    <w:rsid w:val="20BD36D4"/>
    <w:rsid w:val="21FF225D"/>
    <w:rsid w:val="22841A28"/>
    <w:rsid w:val="24654545"/>
    <w:rsid w:val="2CA36957"/>
    <w:rsid w:val="34F27970"/>
    <w:rsid w:val="35351739"/>
    <w:rsid w:val="3A93376F"/>
    <w:rsid w:val="3CFA6383"/>
    <w:rsid w:val="3DCA6BFC"/>
    <w:rsid w:val="3E895BD2"/>
    <w:rsid w:val="40692574"/>
    <w:rsid w:val="42347F20"/>
    <w:rsid w:val="43286E30"/>
    <w:rsid w:val="48F20551"/>
    <w:rsid w:val="4AA173B4"/>
    <w:rsid w:val="4AE029DF"/>
    <w:rsid w:val="4BAD6CEB"/>
    <w:rsid w:val="4D8114AA"/>
    <w:rsid w:val="532A22A4"/>
    <w:rsid w:val="54667B16"/>
    <w:rsid w:val="55FD654D"/>
    <w:rsid w:val="56961329"/>
    <w:rsid w:val="574C0F12"/>
    <w:rsid w:val="5947124D"/>
    <w:rsid w:val="5B9C187E"/>
    <w:rsid w:val="5BED6A2C"/>
    <w:rsid w:val="5C9465BA"/>
    <w:rsid w:val="5F8121D6"/>
    <w:rsid w:val="63350150"/>
    <w:rsid w:val="636E1B01"/>
    <w:rsid w:val="649D1683"/>
    <w:rsid w:val="66C8302E"/>
    <w:rsid w:val="696D1781"/>
    <w:rsid w:val="6A34488A"/>
    <w:rsid w:val="70690B8C"/>
    <w:rsid w:val="72585DA0"/>
    <w:rsid w:val="74310511"/>
    <w:rsid w:val="75417421"/>
    <w:rsid w:val="7AA359EE"/>
    <w:rsid w:val="7C001068"/>
    <w:rsid w:val="7C6B7593"/>
    <w:rsid w:val="7F8E38DC"/>
    <w:rsid w:val="7F9B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18"/>
    <w:qFormat/>
    <w:uiPriority w:val="0"/>
    <w:pPr>
      <w:keepNext/>
      <w:keepLines/>
      <w:widowControl/>
      <w:spacing w:before="340" w:after="330" w:line="360" w:lineRule="auto"/>
      <w:ind w:left="0" w:leftChars="0" w:hanging="150" w:hangingChars="150"/>
      <w:jc w:val="center"/>
      <w:outlineLvl w:val="0"/>
    </w:pPr>
    <w:rPr>
      <w:rFonts w:ascii="Times New Roman" w:hAnsi="Times New Roman" w:eastAsia="宋体" w:cs="Times New Roman"/>
      <w:b/>
      <w:bCs/>
      <w:color w:val="000000"/>
      <w:kern w:val="44"/>
      <w:sz w:val="32"/>
      <w:szCs w:val="44"/>
    </w:rPr>
  </w:style>
  <w:style w:type="paragraph" w:styleId="9">
    <w:name w:val="heading 2"/>
    <w:basedOn w:val="1"/>
    <w:next w:val="1"/>
    <w:link w:val="19"/>
    <w:semiHidden/>
    <w:unhideWhenUsed/>
    <w:qFormat/>
    <w:uiPriority w:val="0"/>
    <w:pPr>
      <w:keepNext/>
      <w:keepLines/>
      <w:spacing w:before="260" w:after="260" w:line="360" w:lineRule="auto"/>
      <w:jc w:val="center"/>
      <w:outlineLvl w:val="1"/>
    </w:pPr>
    <w:rPr>
      <w:rFonts w:ascii="Arial" w:hAnsi="Arial" w:eastAsia="宋体" w:cs="Times New Roman"/>
      <w:b/>
      <w:bCs/>
      <w:sz w:val="30"/>
      <w:szCs w:val="32"/>
    </w:rPr>
  </w:style>
  <w:style w:type="paragraph" w:styleId="10">
    <w:name w:val="heading 3"/>
    <w:basedOn w:val="1"/>
    <w:next w:val="1"/>
    <w:link w:val="20"/>
    <w:semiHidden/>
    <w:unhideWhenUsed/>
    <w:qFormat/>
    <w:uiPriority w:val="0"/>
    <w:pPr>
      <w:keepNext/>
      <w:keepLines/>
      <w:spacing w:before="200"/>
      <w:outlineLvl w:val="2"/>
    </w:pPr>
    <w:rPr>
      <w:rFonts w:ascii="Calibri" w:hAnsi="Calibri" w:eastAsia="微软雅黑" w:cs="Arial"/>
      <w:b/>
      <w:bCs/>
      <w:color w:val="7E97AD"/>
      <w:kern w:val="20"/>
      <w:sz w:val="21"/>
      <w:lang w:val="zh-CN"/>
    </w:rPr>
  </w:style>
  <w:style w:type="paragraph" w:styleId="11">
    <w:name w:val="heading 4"/>
    <w:basedOn w:val="1"/>
    <w:next w:val="1"/>
    <w:link w:val="21"/>
    <w:semiHidden/>
    <w:unhideWhenUsed/>
    <w:qFormat/>
    <w:uiPriority w:val="0"/>
    <w:pPr>
      <w:keepNext/>
      <w:keepLines/>
      <w:spacing w:before="280" w:after="290" w:line="360" w:lineRule="auto"/>
      <w:ind w:leftChars="0"/>
      <w:jc w:val="center"/>
      <w:outlineLvl w:val="3"/>
    </w:pPr>
    <w:rPr>
      <w:rFonts w:ascii="等线 Light" w:hAnsi="等线 Light" w:eastAsia="宋体"/>
      <w:b/>
      <w:bCs/>
      <w:kern w:val="0"/>
      <w:szCs w:val="28"/>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5580"/>
      </w:tabs>
      <w:ind w:firstLine="420" w:firstLineChars="200"/>
    </w:pPr>
  </w:style>
  <w:style w:type="paragraph" w:styleId="3">
    <w:name w:val="Body Text Indent"/>
    <w:basedOn w:val="1"/>
    <w:next w:val="4"/>
    <w:qFormat/>
    <w:uiPriority w:val="0"/>
    <w:pPr>
      <w:tabs>
        <w:tab w:val="left" w:pos="5580"/>
      </w:tabs>
      <w:spacing w:before="120" w:line="360" w:lineRule="auto"/>
      <w:ind w:firstLine="454"/>
    </w:pPr>
    <w:rPr>
      <w:sz w:val="24"/>
    </w:rPr>
  </w:style>
  <w:style w:type="paragraph" w:styleId="4">
    <w:name w:val="envelope return"/>
    <w:basedOn w:val="1"/>
    <w:qFormat/>
    <w:uiPriority w:val="99"/>
    <w:pPr>
      <w:snapToGrid w:val="0"/>
    </w:pPr>
    <w:rPr>
      <w:rFonts w:ascii="Arial" w:hAnsi="Arial" w:cs="Arial"/>
    </w:rPr>
  </w:style>
  <w:style w:type="paragraph" w:styleId="5">
    <w:name w:val="Body Text First Indent"/>
    <w:basedOn w:val="6"/>
    <w:next w:val="7"/>
    <w:qFormat/>
    <w:uiPriority w:val="0"/>
    <w:pPr>
      <w:tabs>
        <w:tab w:val="left" w:pos="567"/>
      </w:tabs>
      <w:spacing w:before="0" w:after="120" w:line="240" w:lineRule="auto"/>
      <w:ind w:firstLine="420" w:firstLineChars="100"/>
    </w:pPr>
  </w:style>
  <w:style w:type="paragraph" w:styleId="6">
    <w:name w:val="Body Text"/>
    <w:basedOn w:val="1"/>
    <w:next w:val="1"/>
    <w:qFormat/>
    <w:uiPriority w:val="0"/>
    <w:pPr>
      <w:tabs>
        <w:tab w:val="left" w:pos="567"/>
      </w:tabs>
      <w:spacing w:before="120" w:line="22" w:lineRule="atLeast"/>
    </w:pPr>
    <w:rPr>
      <w:sz w:val="24"/>
    </w:rPr>
  </w:style>
  <w:style w:type="paragraph" w:styleId="7">
    <w:name w:val="toc 6"/>
    <w:basedOn w:val="1"/>
    <w:next w:val="1"/>
    <w:qFormat/>
    <w:uiPriority w:val="39"/>
    <w:pPr>
      <w:ind w:left="1050"/>
      <w:jc w:val="left"/>
    </w:pPr>
    <w:rPr>
      <w:sz w:val="20"/>
      <w:szCs w:val="20"/>
    </w:rPr>
  </w:style>
  <w:style w:type="paragraph" w:styleId="12">
    <w:name w:val="table of authorities"/>
    <w:basedOn w:val="1"/>
    <w:next w:val="1"/>
    <w:qFormat/>
    <w:uiPriority w:val="0"/>
    <w:pPr>
      <w:ind w:left="420" w:leftChars="200"/>
    </w:pPr>
  </w:style>
  <w:style w:type="paragraph" w:styleId="13">
    <w:name w:val="Normal Indent"/>
    <w:basedOn w:val="1"/>
    <w:qFormat/>
    <w:uiPriority w:val="0"/>
    <w:pPr>
      <w:ind w:firstLine="420" w:firstLineChars="200"/>
    </w:pPr>
  </w:style>
  <w:style w:type="paragraph" w:styleId="14">
    <w:name w:val="Body Text Indent 3"/>
    <w:basedOn w:val="1"/>
    <w:qFormat/>
    <w:uiPriority w:val="0"/>
    <w:pPr>
      <w:spacing w:after="120" w:afterLines="0" w:afterAutospacing="0"/>
      <w:ind w:left="420" w:leftChars="200"/>
    </w:pPr>
    <w:rPr>
      <w:sz w:val="16"/>
    </w:rPr>
  </w:style>
  <w:style w:type="table" w:styleId="16">
    <w:name w:val="Table Grid"/>
    <w:basedOn w:val="1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8">
    <w:name w:val="标题 1 字符"/>
    <w:basedOn w:val="17"/>
    <w:link w:val="8"/>
    <w:qFormat/>
    <w:uiPriority w:val="0"/>
    <w:rPr>
      <w:rFonts w:ascii="Times New Roman" w:hAnsi="Times New Roman" w:eastAsia="宋体" w:cs="Times New Roman"/>
      <w:b/>
      <w:bCs/>
      <w:color w:val="000000"/>
      <w:kern w:val="44"/>
      <w:sz w:val="32"/>
      <w:szCs w:val="44"/>
    </w:rPr>
  </w:style>
  <w:style w:type="character" w:customStyle="1" w:styleId="19">
    <w:name w:val="标题 2 字符1"/>
    <w:link w:val="9"/>
    <w:qFormat/>
    <w:uiPriority w:val="0"/>
    <w:rPr>
      <w:rFonts w:ascii="Arial" w:hAnsi="Arial" w:eastAsia="宋体" w:cs="Times New Roman"/>
      <w:b/>
      <w:sz w:val="30"/>
      <w:szCs w:val="24"/>
    </w:rPr>
  </w:style>
  <w:style w:type="character" w:customStyle="1" w:styleId="20">
    <w:name w:val="标题 3 字符"/>
    <w:basedOn w:val="17"/>
    <w:link w:val="10"/>
    <w:qFormat/>
    <w:uiPriority w:val="0"/>
    <w:rPr>
      <w:rFonts w:ascii="Times New Roman" w:hAnsi="Times New Roman" w:eastAsia="宋体" w:cs="Times New Roman"/>
      <w:b/>
      <w:bCs/>
      <w:kern w:val="20"/>
      <w:sz w:val="21"/>
      <w:szCs w:val="32"/>
      <w:lang w:val="zh-CN"/>
    </w:rPr>
  </w:style>
  <w:style w:type="character" w:customStyle="1" w:styleId="21">
    <w:name w:val="标题 4 字符"/>
    <w:link w:val="11"/>
    <w:qFormat/>
    <w:uiPriority w:val="0"/>
    <w:rPr>
      <w:rFonts w:ascii="等线 Light" w:hAnsi="等线 Light" w:eastAsia="宋体" w:cs="Times New Roman"/>
      <w:b/>
      <w:bCs/>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1675</Words>
  <Characters>2003</Characters>
  <Lines>0</Lines>
  <Paragraphs>0</Paragraphs>
  <TotalTime>0</TotalTime>
  <ScaleCrop>false</ScaleCrop>
  <LinksUpToDate>false</LinksUpToDate>
  <CharactersWithSpaces>2026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2021-09-18T00:56:00Z</dcterms:created>
  <dc:creator>Administrator</dc:creator>
  <cp:lastModifiedBy>华采-蒲晓芳</cp:lastModifiedBy>
  <dcterms:modified xsi:type="dcterms:W3CDTF">2023-07-07T08:26:12Z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32769B54323C4F0ABDB886F5D9FC722B</vt:lpwstr>
  </property>
</Properties>
</file>