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cs="宋体"/>
          <w:sz w:val="36"/>
          <w:szCs w:val="36"/>
        </w:rPr>
      </w:pPr>
      <w:r>
        <w:rPr>
          <w:rFonts w:hint="eastAsia" w:hAnsi="宋体"/>
          <w:sz w:val="36"/>
          <w:szCs w:val="36"/>
          <w:lang w:val="en-US" w:eastAsia="zh-CN"/>
        </w:rPr>
        <w:t>磋商公告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ind w:firstLine="480"/>
            </w:pPr>
            <w:r>
              <w:rPr>
                <w:rFonts w:hint="eastAsia"/>
              </w:rPr>
              <w:t>项目概况</w:t>
            </w:r>
          </w:p>
          <w:p>
            <w:pPr>
              <w:pStyle w:val="9"/>
              <w:ind w:firstLine="480"/>
            </w:pPr>
            <w:r>
              <w:rPr>
                <w:rFonts w:hint="eastAsia"/>
                <w:u w:val="single"/>
              </w:rPr>
              <w:t xml:space="preserve">(华北电力大学电厂数据建模与仿真培训系统) </w:t>
            </w:r>
            <w:r>
              <w:rPr>
                <w:rFonts w:hint="eastAsia"/>
              </w:rPr>
              <w:t>采购项目的潜在供应商应在</w:t>
            </w:r>
            <w:r>
              <w:rPr>
                <w:rFonts w:hint="eastAsia"/>
                <w:u w:val="single"/>
              </w:rPr>
              <w:t>（北京市海淀区中关村东路18号财智国际大厦C座20层C2010室）</w:t>
            </w:r>
            <w:r>
              <w:rPr>
                <w:rFonts w:hint="eastAsia"/>
              </w:rPr>
              <w:t>获取采购文件，并于</w:t>
            </w:r>
            <w:r>
              <w:rPr>
                <w:rFonts w:hint="eastAsia" w:ascii="宋体" w:hAnsi="宋体"/>
                <w:szCs w:val="21"/>
                <w:u w:val="single"/>
              </w:rPr>
              <w:t>2023年</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27</w:t>
            </w:r>
            <w:r>
              <w:rPr>
                <w:rFonts w:hint="eastAsia" w:ascii="宋体" w:hAnsi="宋体"/>
                <w:szCs w:val="21"/>
                <w:u w:val="single"/>
              </w:rPr>
              <w:t>日</w:t>
            </w:r>
            <w:r>
              <w:rPr>
                <w:rFonts w:hint="eastAsia" w:ascii="宋体" w:hAnsi="宋体"/>
                <w:szCs w:val="21"/>
                <w:u w:val="single"/>
                <w:lang w:val="en-US" w:eastAsia="zh-CN"/>
              </w:rPr>
              <w:t>上</w:t>
            </w:r>
            <w:r>
              <w:rPr>
                <w:rFonts w:hint="eastAsia" w:ascii="宋体" w:hAnsi="宋体"/>
                <w:szCs w:val="21"/>
              </w:rPr>
              <w:t>午</w:t>
            </w:r>
            <w:r>
              <w:rPr>
                <w:rFonts w:hint="eastAsia" w:ascii="宋体" w:hAnsi="宋体"/>
                <w:szCs w:val="21"/>
                <w:lang w:val="en-US" w:eastAsia="zh-CN"/>
              </w:rPr>
              <w:t>9</w:t>
            </w:r>
            <w:r>
              <w:rPr>
                <w:rFonts w:hint="eastAsia" w:ascii="宋体" w:hAnsi="宋体"/>
                <w:szCs w:val="21"/>
              </w:rPr>
              <w:t>:30</w:t>
            </w:r>
            <w:r>
              <w:rPr>
                <w:rFonts w:hint="eastAsia"/>
              </w:rPr>
              <w:t>（北京时间）前递交响应文件。</w:t>
            </w:r>
          </w:p>
        </w:tc>
      </w:tr>
    </w:tbl>
    <w:p>
      <w:pPr>
        <w:pStyle w:val="9"/>
        <w:ind w:firstLine="0" w:firstLineChars="0"/>
      </w:pPr>
    </w:p>
    <w:p>
      <w:pPr>
        <w:widowControl/>
        <w:spacing w:line="360" w:lineRule="auto"/>
        <w:rPr>
          <w:rFonts w:ascii="宋体" w:hAnsi="宋体" w:cs="宋体"/>
          <w:b/>
          <w:bCs/>
          <w:sz w:val="24"/>
        </w:rPr>
      </w:pPr>
      <w:bookmarkStart w:id="0" w:name="_Toc28359089"/>
      <w:bookmarkStart w:id="1" w:name="_Toc35393798"/>
      <w:bookmarkStart w:id="2" w:name="_Toc35393629"/>
      <w:bookmarkStart w:id="3" w:name="_Toc28359012"/>
      <w:r>
        <w:rPr>
          <w:rFonts w:hint="eastAsia" w:ascii="宋体" w:hAnsi="宋体" w:cs="宋体"/>
          <w:b/>
          <w:bCs/>
          <w:sz w:val="24"/>
        </w:rPr>
        <w:t>一、项目基本情况</w:t>
      </w:r>
      <w:bookmarkEnd w:id="0"/>
      <w:bookmarkEnd w:id="1"/>
      <w:bookmarkEnd w:id="2"/>
      <w:bookmarkEnd w:id="3"/>
    </w:p>
    <w:p>
      <w:pPr>
        <w:widowControl/>
        <w:spacing w:line="360" w:lineRule="auto"/>
        <w:rPr>
          <w:rFonts w:ascii="宋体" w:hAnsi="宋体" w:cs="宋体"/>
          <w:sz w:val="24"/>
        </w:rPr>
      </w:pPr>
      <w:r>
        <w:rPr>
          <w:rFonts w:hint="eastAsia" w:ascii="宋体" w:hAnsi="宋体" w:cs="宋体"/>
          <w:sz w:val="24"/>
        </w:rPr>
        <w:t>项目代理编号：</w:t>
      </w:r>
      <w:r>
        <w:rPr>
          <w:rFonts w:hint="eastAsia" w:ascii="宋体" w:hAnsi="宋体"/>
          <w:sz w:val="24"/>
        </w:rPr>
        <w:t>HCZB-2023-ZB0795</w:t>
      </w:r>
      <w:r>
        <w:rPr>
          <w:rFonts w:hint="eastAsia" w:ascii="宋体" w:hAnsi="宋体" w:cs="宋体"/>
          <w:sz w:val="24"/>
        </w:rPr>
        <w:t xml:space="preserve">   </w:t>
      </w:r>
    </w:p>
    <w:p>
      <w:pPr>
        <w:widowControl/>
        <w:spacing w:line="360" w:lineRule="auto"/>
        <w:rPr>
          <w:rFonts w:ascii="宋体" w:hAnsi="宋体" w:cs="宋体"/>
          <w:sz w:val="24"/>
        </w:rPr>
      </w:pPr>
      <w:r>
        <w:rPr>
          <w:rFonts w:hint="eastAsia" w:ascii="宋体" w:hAnsi="宋体" w:cs="宋体"/>
          <w:sz w:val="24"/>
        </w:rPr>
        <w:t>项目名称：</w:t>
      </w:r>
      <w:r>
        <w:rPr>
          <w:rFonts w:hint="eastAsia" w:ascii="宋体" w:hAnsi="宋体"/>
          <w:sz w:val="24"/>
        </w:rPr>
        <w:t>华北电力大学电厂数据建模与仿真培训系统</w:t>
      </w:r>
    </w:p>
    <w:p>
      <w:pPr>
        <w:widowControl/>
        <w:spacing w:line="360" w:lineRule="auto"/>
        <w:rPr>
          <w:rFonts w:ascii="宋体" w:hAnsi="宋体" w:cs="宋体"/>
          <w:sz w:val="24"/>
        </w:rPr>
      </w:pPr>
      <w:r>
        <w:rPr>
          <w:rFonts w:hint="eastAsia" w:ascii="宋体" w:hAnsi="宋体" w:cs="宋体"/>
          <w:sz w:val="24"/>
        </w:rPr>
        <w:t>采购方式：竞争性磋商</w:t>
      </w:r>
      <w:bookmarkStart w:id="30" w:name="_GoBack"/>
      <w:bookmarkEnd w:id="30"/>
    </w:p>
    <w:p>
      <w:pPr>
        <w:widowControl/>
        <w:spacing w:line="360" w:lineRule="auto"/>
        <w:rPr>
          <w:rFonts w:ascii="宋体" w:hAnsi="宋体" w:cs="宋体"/>
          <w:sz w:val="24"/>
        </w:rPr>
      </w:pPr>
      <w:r>
        <w:rPr>
          <w:rFonts w:hint="eastAsia" w:ascii="宋体" w:hAnsi="宋体" w:cs="宋体"/>
          <w:sz w:val="24"/>
        </w:rPr>
        <w:t>预算金额：70万元</w:t>
      </w:r>
    </w:p>
    <w:p>
      <w:pPr>
        <w:widowControl/>
        <w:spacing w:line="360" w:lineRule="auto"/>
      </w:pPr>
      <w:r>
        <w:rPr>
          <w:rFonts w:hint="eastAsia" w:ascii="宋体" w:hAnsi="宋体" w:cs="宋体"/>
          <w:sz w:val="24"/>
        </w:rPr>
        <w:t>采购需求：</w:t>
      </w:r>
      <w:r>
        <w:rPr>
          <w:rFonts w:hint="eastAsia" w:ascii="宋体" w:hAnsi="宋体"/>
          <w:sz w:val="24"/>
        </w:rPr>
        <w:t>电厂数据建模与仿真培训系统采购</w:t>
      </w:r>
      <w:r>
        <w:rPr>
          <w:rFonts w:hint="eastAsia" w:ascii="宋体" w:hAnsi="宋体"/>
          <w:sz w:val="24"/>
          <w:lang w:eastAsia="zh-CN"/>
        </w:rPr>
        <w:t>，</w:t>
      </w:r>
      <w:r>
        <w:rPr>
          <w:rFonts w:hint="eastAsia" w:ascii="宋体" w:hAnsi="宋体"/>
          <w:sz w:val="24"/>
          <w:lang w:val="en-US" w:eastAsia="zh-CN"/>
        </w:rPr>
        <w:t>详见附件采购清单。</w:t>
      </w:r>
    </w:p>
    <w:p>
      <w:pPr>
        <w:widowControl/>
        <w:spacing w:line="360" w:lineRule="auto"/>
        <w:rPr>
          <w:rFonts w:ascii="宋体" w:hAnsi="宋体" w:cs="宋体"/>
          <w:sz w:val="24"/>
        </w:rPr>
      </w:pPr>
      <w:r>
        <w:rPr>
          <w:rFonts w:hint="eastAsia" w:ascii="宋体" w:hAnsi="宋体" w:cs="宋体"/>
          <w:sz w:val="24"/>
        </w:rPr>
        <w:t>合同履行期限：自合同签订生效后开始至双方合同完全履行后截止</w:t>
      </w:r>
    </w:p>
    <w:p>
      <w:pPr>
        <w:widowControl/>
        <w:spacing w:line="360" w:lineRule="auto"/>
        <w:rPr>
          <w:rFonts w:ascii="宋体" w:hAnsi="宋体" w:cs="宋体"/>
          <w:b/>
          <w:bCs/>
          <w:sz w:val="24"/>
        </w:rPr>
      </w:pPr>
      <w:bookmarkStart w:id="4" w:name="_Toc28359013"/>
      <w:bookmarkStart w:id="5" w:name="_Toc28359090"/>
      <w:bookmarkStart w:id="6" w:name="_Toc35393799"/>
      <w:bookmarkStart w:id="7" w:name="_Toc35393630"/>
      <w:r>
        <w:rPr>
          <w:rFonts w:hint="eastAsia" w:ascii="宋体" w:hAnsi="宋体" w:cs="宋体"/>
          <w:b/>
          <w:bCs/>
          <w:sz w:val="24"/>
        </w:rPr>
        <w:t>二、申请人的资格要求：</w:t>
      </w:r>
      <w:bookmarkEnd w:id="4"/>
      <w:bookmarkEnd w:id="5"/>
      <w:bookmarkEnd w:id="6"/>
      <w:bookmarkEnd w:id="7"/>
    </w:p>
    <w:p>
      <w:pPr>
        <w:spacing w:line="360" w:lineRule="auto"/>
        <w:rPr>
          <w:rFonts w:ascii="宋体" w:hAnsi="宋体" w:cs="宋体"/>
          <w:sz w:val="24"/>
        </w:rPr>
      </w:pPr>
      <w:bookmarkStart w:id="8" w:name="_Toc28359014"/>
      <w:bookmarkStart w:id="9" w:name="_Toc28359091"/>
      <w:r>
        <w:rPr>
          <w:rFonts w:hint="eastAsia" w:ascii="宋体" w:hAnsi="宋体" w:cs="宋体"/>
          <w:sz w:val="24"/>
        </w:rPr>
        <w:t>1.满足《中华人民共和国政府采购法》第二十二条规定：</w:t>
      </w:r>
    </w:p>
    <w:p>
      <w:pPr>
        <w:spacing w:line="360" w:lineRule="auto"/>
        <w:rPr>
          <w:rFonts w:ascii="宋体" w:hAnsi="宋体" w:cs="宋体"/>
          <w:sz w:val="24"/>
        </w:rPr>
      </w:pPr>
      <w:r>
        <w:rPr>
          <w:rFonts w:hint="eastAsia" w:ascii="宋体" w:hAnsi="宋体" w:cs="宋体"/>
          <w:sz w:val="24"/>
        </w:rPr>
        <w:t>2.落实政府采购政策需满足的资格要求：</w:t>
      </w:r>
    </w:p>
    <w:p>
      <w:pPr>
        <w:spacing w:line="360" w:lineRule="auto"/>
        <w:rPr>
          <w:rFonts w:ascii="宋体" w:hAnsi="宋体" w:cs="宋体"/>
          <w:sz w:val="24"/>
        </w:rPr>
      </w:pPr>
      <w:r>
        <w:rPr>
          <w:rFonts w:hint="eastAsia" w:ascii="宋体" w:hAnsi="宋体" w:cs="宋体"/>
          <w:sz w:val="24"/>
        </w:rPr>
        <w:t>本项目不专门面向中小、微型企业（监狱、戒毒企业、残疾人福利性单位视同小微企业）采购。</w:t>
      </w:r>
    </w:p>
    <w:p>
      <w:pPr>
        <w:widowControl/>
        <w:spacing w:line="360" w:lineRule="auto"/>
        <w:rPr>
          <w:rFonts w:ascii="宋体" w:hAnsi="宋体" w:cs="宋体"/>
          <w:sz w:val="24"/>
        </w:rPr>
      </w:pPr>
      <w:r>
        <w:rPr>
          <w:rFonts w:hint="eastAsia" w:ascii="宋体" w:hAnsi="宋体" w:cs="宋体"/>
          <w:sz w:val="24"/>
        </w:rPr>
        <w:t>3.本项目的特定资格要求：</w:t>
      </w:r>
    </w:p>
    <w:p>
      <w:pPr>
        <w:widowControl/>
        <w:spacing w:line="360" w:lineRule="auto"/>
        <w:rPr>
          <w:rFonts w:ascii="宋体" w:hAnsi="宋体" w:cs="宋体"/>
          <w:sz w:val="24"/>
        </w:rPr>
      </w:pPr>
      <w:r>
        <w:rPr>
          <w:rFonts w:hint="eastAsia" w:ascii="宋体" w:hAnsi="宋体" w:cs="宋体"/>
          <w:sz w:val="24"/>
        </w:rPr>
        <w:t>（一）本项目不接受联合体磋商。</w:t>
      </w:r>
    </w:p>
    <w:p>
      <w:pPr>
        <w:spacing w:line="360" w:lineRule="auto"/>
        <w:rPr>
          <w:rFonts w:ascii="宋体" w:hAnsi="宋体" w:cs="宋体"/>
          <w:sz w:val="24"/>
        </w:rPr>
      </w:pPr>
      <w:r>
        <w:rPr>
          <w:rFonts w:hint="eastAsia" w:ascii="宋体" w:hAnsi="宋体" w:cs="宋体"/>
          <w:sz w:val="24"/>
        </w:rPr>
        <w:t>（二）法律、行政法规规定的其他条件：</w:t>
      </w:r>
    </w:p>
    <w:p>
      <w:pPr>
        <w:spacing w:line="360" w:lineRule="auto"/>
        <w:rPr>
          <w:rFonts w:ascii="宋体" w:hAnsi="宋体" w:cs="宋体"/>
          <w:sz w:val="24"/>
        </w:rPr>
      </w:pPr>
      <w:r>
        <w:rPr>
          <w:rFonts w:hint="eastAsia" w:ascii="宋体" w:hAnsi="宋体" w:cs="宋体"/>
          <w:sz w:val="24"/>
        </w:rPr>
        <w:t>（1）供应商必须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spacing w:line="360" w:lineRule="auto"/>
        <w:rPr>
          <w:rFonts w:ascii="宋体" w:hAnsi="宋体" w:cs="宋体"/>
          <w:sz w:val="24"/>
        </w:rPr>
      </w:pPr>
      <w:r>
        <w:rPr>
          <w:rFonts w:hint="eastAsia" w:ascii="宋体" w:hAnsi="宋体" w:cs="宋体"/>
          <w:sz w:val="24"/>
        </w:rPr>
        <w:t>（2）不同供应商的法人、单位负责人不是同一人也不存在直接控股、管理关系；</w:t>
      </w:r>
    </w:p>
    <w:p>
      <w:pPr>
        <w:spacing w:line="360" w:lineRule="auto"/>
        <w:rPr>
          <w:rFonts w:ascii="宋体" w:hAnsi="宋体" w:cs="宋体"/>
          <w:sz w:val="24"/>
        </w:rPr>
      </w:pPr>
      <w:r>
        <w:rPr>
          <w:rFonts w:hint="eastAsia" w:ascii="宋体" w:hAnsi="宋体" w:cs="宋体"/>
          <w:sz w:val="24"/>
        </w:rPr>
        <w:t>（3）供应商必须向采购代理机构购买磋商文件并登记备案，未向采购代理机构购买磋商文件并登记备案的无资格参加本次磋商。</w:t>
      </w:r>
    </w:p>
    <w:p>
      <w:pPr>
        <w:spacing w:line="360" w:lineRule="auto"/>
      </w:pPr>
      <w:r>
        <w:rPr>
          <w:rFonts w:hint="eastAsia" w:ascii="宋体" w:hAnsi="宋体" w:cs="宋体"/>
          <w:sz w:val="24"/>
        </w:rPr>
        <w:t>（4）本项目不接受进口产品</w:t>
      </w:r>
    </w:p>
    <w:p>
      <w:pPr>
        <w:widowControl/>
        <w:spacing w:line="360" w:lineRule="auto"/>
        <w:rPr>
          <w:rFonts w:ascii="宋体" w:hAnsi="宋体" w:cs="宋体"/>
          <w:b/>
          <w:bCs/>
          <w:sz w:val="24"/>
        </w:rPr>
      </w:pPr>
      <w:bookmarkStart w:id="10" w:name="_Toc35393800"/>
      <w:bookmarkStart w:id="11" w:name="_Toc35393631"/>
      <w:r>
        <w:rPr>
          <w:rFonts w:hint="eastAsia" w:ascii="宋体" w:hAnsi="宋体" w:cs="宋体"/>
          <w:b/>
          <w:bCs/>
          <w:sz w:val="24"/>
        </w:rPr>
        <w:t>三、获取采购文件</w:t>
      </w:r>
      <w:bookmarkEnd w:id="8"/>
      <w:bookmarkEnd w:id="9"/>
      <w:bookmarkEnd w:id="10"/>
      <w:bookmarkEnd w:id="11"/>
    </w:p>
    <w:p>
      <w:pPr>
        <w:widowControl/>
        <w:spacing w:line="360" w:lineRule="auto"/>
        <w:rPr>
          <w:rFonts w:ascii="宋体" w:hAnsi="宋体" w:cs="宋体"/>
          <w:sz w:val="24"/>
        </w:rPr>
      </w:pPr>
      <w:r>
        <w:rPr>
          <w:rFonts w:hint="eastAsia" w:ascii="宋体" w:hAnsi="宋体" w:cs="宋体"/>
          <w:sz w:val="24"/>
        </w:rPr>
        <w:t>时间：2023年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日至2023年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日，每天上午9:00至12:00，下午13:00至17:00（北京时间，法定节假日除外 ）</w:t>
      </w:r>
    </w:p>
    <w:p>
      <w:pPr>
        <w:widowControl/>
        <w:spacing w:line="360" w:lineRule="auto"/>
        <w:rPr>
          <w:rFonts w:ascii="宋体" w:hAnsi="宋体" w:cs="宋体"/>
          <w:sz w:val="24"/>
        </w:rPr>
      </w:pPr>
      <w:r>
        <w:rPr>
          <w:rFonts w:hint="eastAsia" w:ascii="宋体" w:hAnsi="宋体" w:cs="宋体"/>
          <w:sz w:val="24"/>
        </w:rPr>
        <w:t>地点：北京市海淀区中关村东路18号财智国际大厦C座20层C2010室</w:t>
      </w:r>
    </w:p>
    <w:p>
      <w:pPr>
        <w:widowControl/>
        <w:spacing w:line="360" w:lineRule="auto"/>
        <w:rPr>
          <w:rFonts w:ascii="宋体" w:hAnsi="宋体" w:cs="宋体"/>
          <w:sz w:val="24"/>
        </w:rPr>
      </w:pPr>
      <w:r>
        <w:rPr>
          <w:rFonts w:hint="eastAsia" w:ascii="宋体" w:hAnsi="宋体" w:cs="宋体"/>
          <w:sz w:val="24"/>
        </w:rPr>
        <w:t>售价：500元人民币/本</w:t>
      </w:r>
      <w:r>
        <w:rPr>
          <w:rFonts w:hint="eastAsia" w:ascii="宋体" w:hAnsi="宋体"/>
          <w:sz w:val="24"/>
        </w:rPr>
        <w:t>，招标文件售后不退。</w:t>
      </w:r>
    </w:p>
    <w:p>
      <w:pPr>
        <w:widowControl/>
        <w:spacing w:line="360" w:lineRule="auto"/>
        <w:rPr>
          <w:rFonts w:ascii="宋体" w:hAnsi="宋体" w:cs="宋体"/>
          <w:b/>
          <w:bCs/>
          <w:sz w:val="24"/>
        </w:rPr>
      </w:pPr>
      <w:bookmarkStart w:id="12" w:name="_Toc28359092"/>
      <w:bookmarkStart w:id="13" w:name="_Toc35393801"/>
      <w:bookmarkStart w:id="14" w:name="_Toc28359015"/>
      <w:bookmarkStart w:id="15" w:name="_Toc35393632"/>
      <w:r>
        <w:rPr>
          <w:rFonts w:hint="eastAsia" w:ascii="宋体" w:hAnsi="宋体" w:cs="宋体"/>
          <w:b/>
          <w:bCs/>
          <w:sz w:val="24"/>
        </w:rPr>
        <w:t>四、响应文件提交</w:t>
      </w:r>
      <w:bookmarkEnd w:id="12"/>
      <w:bookmarkEnd w:id="13"/>
      <w:bookmarkEnd w:id="14"/>
      <w:bookmarkEnd w:id="15"/>
    </w:p>
    <w:p>
      <w:pPr>
        <w:widowControl/>
        <w:spacing w:line="360" w:lineRule="auto"/>
        <w:rPr>
          <w:rFonts w:ascii="宋体" w:hAnsi="宋体" w:cs="宋体"/>
          <w:sz w:val="24"/>
        </w:rPr>
      </w:pPr>
      <w:r>
        <w:rPr>
          <w:rFonts w:hint="eastAsia" w:ascii="宋体" w:hAnsi="宋体" w:cs="宋体"/>
          <w:sz w:val="24"/>
        </w:rPr>
        <w:t>截止时间：2023年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：30 （北京时间）</w:t>
      </w:r>
    </w:p>
    <w:p>
      <w:pPr>
        <w:widowControl/>
        <w:spacing w:line="360" w:lineRule="auto"/>
        <w:rPr>
          <w:rFonts w:ascii="宋体" w:hAnsi="宋体" w:cs="宋体"/>
          <w:sz w:val="24"/>
        </w:rPr>
      </w:pPr>
      <w:r>
        <w:rPr>
          <w:rFonts w:hint="eastAsia" w:ascii="宋体" w:hAnsi="宋体" w:cs="宋体"/>
          <w:sz w:val="24"/>
        </w:rPr>
        <w:t>地点：北京市海淀区中关村东路18号财智国际大厦C座20层C2010室第</w:t>
      </w:r>
      <w:r>
        <w:rPr>
          <w:rFonts w:hint="eastAsia" w:ascii="宋体" w:hAnsi="宋体" w:cs="宋体"/>
          <w:sz w:val="24"/>
          <w:lang w:val="en-US" w:eastAsia="zh-CN"/>
        </w:rPr>
        <w:t>一</w:t>
      </w:r>
      <w:r>
        <w:rPr>
          <w:rFonts w:hint="eastAsia" w:ascii="宋体" w:hAnsi="宋体" w:cs="宋体"/>
          <w:sz w:val="24"/>
        </w:rPr>
        <w:t>会议室。</w:t>
      </w:r>
    </w:p>
    <w:p>
      <w:pPr>
        <w:widowControl/>
        <w:spacing w:line="360" w:lineRule="auto"/>
        <w:rPr>
          <w:rFonts w:ascii="宋体" w:hAnsi="宋体" w:cs="宋体"/>
          <w:b/>
          <w:bCs/>
          <w:sz w:val="24"/>
        </w:rPr>
      </w:pPr>
      <w:bookmarkStart w:id="16" w:name="_Toc28359016"/>
      <w:bookmarkStart w:id="17" w:name="_Toc35393633"/>
      <w:bookmarkStart w:id="18" w:name="_Toc35393802"/>
      <w:bookmarkStart w:id="19" w:name="_Toc28359093"/>
      <w:r>
        <w:rPr>
          <w:rFonts w:hint="eastAsia" w:ascii="宋体" w:hAnsi="宋体" w:cs="宋体"/>
          <w:b/>
          <w:bCs/>
          <w:sz w:val="24"/>
        </w:rPr>
        <w:t>五、开启</w:t>
      </w:r>
      <w:bookmarkEnd w:id="16"/>
      <w:bookmarkEnd w:id="17"/>
      <w:bookmarkEnd w:id="18"/>
      <w:bookmarkEnd w:id="19"/>
      <w:r>
        <w:rPr>
          <w:rFonts w:hint="eastAsia" w:ascii="宋体" w:hAnsi="宋体" w:cs="宋体"/>
          <w:b/>
          <w:bCs/>
          <w:sz w:val="24"/>
        </w:rPr>
        <w:t xml:space="preserve"> </w:t>
      </w:r>
    </w:p>
    <w:p>
      <w:pPr>
        <w:widowControl/>
        <w:spacing w:line="360" w:lineRule="auto"/>
        <w:rPr>
          <w:rFonts w:ascii="宋体" w:hAnsi="宋体" w:cs="宋体"/>
          <w:sz w:val="24"/>
        </w:rPr>
      </w:pPr>
      <w:r>
        <w:rPr>
          <w:rFonts w:hint="eastAsia" w:ascii="宋体" w:hAnsi="宋体" w:cs="宋体"/>
          <w:sz w:val="24"/>
        </w:rPr>
        <w:t>时间：2023年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：30 （北京时间）</w:t>
      </w:r>
    </w:p>
    <w:p>
      <w:pPr>
        <w:widowControl/>
        <w:spacing w:line="360" w:lineRule="auto"/>
        <w:rPr>
          <w:rFonts w:ascii="宋体" w:hAnsi="宋体" w:cs="宋体"/>
          <w:sz w:val="24"/>
        </w:rPr>
      </w:pPr>
      <w:r>
        <w:rPr>
          <w:rFonts w:hint="eastAsia" w:ascii="宋体" w:hAnsi="宋体" w:cs="宋体"/>
          <w:sz w:val="24"/>
        </w:rPr>
        <w:t>地点：北京市海淀区中关村东路18号财智国际大厦C座20层C2010室第</w:t>
      </w:r>
      <w:r>
        <w:rPr>
          <w:rFonts w:hint="eastAsia" w:ascii="宋体" w:hAnsi="宋体" w:cs="宋体"/>
          <w:sz w:val="24"/>
          <w:lang w:val="en-US" w:eastAsia="zh-CN"/>
        </w:rPr>
        <w:t>一</w:t>
      </w:r>
      <w:r>
        <w:rPr>
          <w:rFonts w:hint="eastAsia" w:ascii="宋体" w:hAnsi="宋体" w:cs="宋体"/>
          <w:sz w:val="24"/>
        </w:rPr>
        <w:t>会议室。</w:t>
      </w:r>
    </w:p>
    <w:p>
      <w:pPr>
        <w:widowControl/>
        <w:spacing w:line="360" w:lineRule="auto"/>
        <w:rPr>
          <w:rFonts w:ascii="宋体" w:hAnsi="宋体" w:cs="宋体"/>
          <w:b/>
          <w:bCs/>
          <w:sz w:val="24"/>
        </w:rPr>
      </w:pPr>
      <w:bookmarkStart w:id="20" w:name="_Toc35393803"/>
      <w:bookmarkStart w:id="21" w:name="_Toc28359017"/>
      <w:bookmarkStart w:id="22" w:name="_Toc28359094"/>
      <w:bookmarkStart w:id="23" w:name="_Toc35393634"/>
      <w:r>
        <w:rPr>
          <w:rFonts w:hint="eastAsia" w:ascii="宋体" w:hAnsi="宋体" w:cs="宋体"/>
          <w:b/>
          <w:bCs/>
          <w:sz w:val="24"/>
        </w:rPr>
        <w:t>六、公告期限</w:t>
      </w:r>
      <w:bookmarkEnd w:id="20"/>
      <w:bookmarkEnd w:id="21"/>
      <w:bookmarkEnd w:id="22"/>
      <w:bookmarkEnd w:id="23"/>
    </w:p>
    <w:p>
      <w:pPr>
        <w:widowControl/>
        <w:spacing w:line="360" w:lineRule="auto"/>
        <w:rPr>
          <w:rFonts w:ascii="宋体" w:hAnsi="宋体" w:cs="宋体"/>
          <w:sz w:val="24"/>
        </w:rPr>
      </w:pPr>
      <w:r>
        <w:rPr>
          <w:rFonts w:hint="eastAsia" w:ascii="宋体" w:hAnsi="宋体" w:cs="宋体"/>
          <w:sz w:val="24"/>
        </w:rPr>
        <w:t>自本公告发布之日起3个工作日。</w:t>
      </w:r>
    </w:p>
    <w:p>
      <w:pPr>
        <w:widowControl/>
        <w:spacing w:line="360" w:lineRule="auto"/>
        <w:rPr>
          <w:rFonts w:ascii="宋体" w:hAnsi="宋体" w:cs="宋体"/>
          <w:b/>
          <w:bCs/>
          <w:sz w:val="24"/>
        </w:rPr>
      </w:pPr>
      <w:bookmarkStart w:id="24" w:name="_Toc35393804"/>
      <w:bookmarkStart w:id="25" w:name="_Toc35393635"/>
      <w:r>
        <w:rPr>
          <w:rFonts w:hint="eastAsia" w:ascii="宋体" w:hAnsi="宋体" w:cs="宋体"/>
          <w:b/>
          <w:bCs/>
          <w:sz w:val="24"/>
        </w:rPr>
        <w:t>七、其他补充事宜</w:t>
      </w:r>
      <w:bookmarkEnd w:id="24"/>
      <w:bookmarkEnd w:id="25"/>
    </w:p>
    <w:p>
      <w:pPr>
        <w:widowControl/>
        <w:spacing w:line="360" w:lineRule="auto"/>
        <w:rPr>
          <w:rFonts w:ascii="宋体" w:hAnsi="宋体" w:cs="宋体"/>
          <w:sz w:val="24"/>
        </w:rPr>
      </w:pPr>
      <w:r>
        <w:rPr>
          <w:rFonts w:hint="eastAsia" w:ascii="宋体" w:hAnsi="宋体" w:cs="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widowControl/>
        <w:spacing w:line="360" w:lineRule="auto"/>
        <w:rPr>
          <w:rFonts w:ascii="宋体" w:hAnsi="宋体" w:cs="宋体"/>
          <w:sz w:val="24"/>
        </w:rPr>
      </w:pPr>
      <w:r>
        <w:rPr>
          <w:rFonts w:hint="eastAsia" w:ascii="宋体" w:hAnsi="宋体" w:cs="宋体"/>
          <w:sz w:val="24"/>
        </w:rPr>
        <w:t>2、本竞争性磋商公告在中国政府采购网上发布。</w:t>
      </w:r>
    </w:p>
    <w:p>
      <w:pPr>
        <w:widowControl/>
        <w:spacing w:line="360" w:lineRule="auto"/>
        <w:rPr>
          <w:rFonts w:ascii="宋体" w:hAnsi="宋体" w:cs="宋体"/>
          <w:b/>
          <w:bCs/>
          <w:sz w:val="24"/>
        </w:rPr>
      </w:pPr>
      <w:bookmarkStart w:id="26" w:name="_Toc35393636"/>
      <w:bookmarkStart w:id="27" w:name="_Toc28359095"/>
      <w:bookmarkStart w:id="28" w:name="_Toc35393805"/>
      <w:bookmarkStart w:id="29" w:name="_Toc28359018"/>
      <w:r>
        <w:rPr>
          <w:rFonts w:hint="eastAsia" w:ascii="宋体" w:hAnsi="宋体" w:cs="宋体"/>
          <w:b/>
          <w:bCs/>
          <w:sz w:val="24"/>
        </w:rPr>
        <w:t>八、凡对本次采购提出询问，请按以下方式联系。</w:t>
      </w:r>
      <w:bookmarkEnd w:id="26"/>
      <w:bookmarkEnd w:id="27"/>
      <w:bookmarkEnd w:id="28"/>
      <w:bookmarkEnd w:id="29"/>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名 称：华北电力大学</w:t>
      </w:r>
    </w:p>
    <w:p>
      <w:pPr>
        <w:spacing w:line="360" w:lineRule="auto"/>
        <w:rPr>
          <w:rFonts w:ascii="宋体" w:hAnsi="宋体" w:cs="宋体"/>
          <w:sz w:val="24"/>
        </w:rPr>
      </w:pPr>
      <w:r>
        <w:rPr>
          <w:rFonts w:hint="eastAsia" w:ascii="宋体" w:hAnsi="宋体" w:cs="宋体"/>
          <w:sz w:val="24"/>
        </w:rPr>
        <w:t>地 址：北京市昌平区回龙观北农路2号</w:t>
      </w:r>
    </w:p>
    <w:p>
      <w:pPr>
        <w:spacing w:line="360" w:lineRule="auto"/>
        <w:rPr>
          <w:rFonts w:ascii="宋体" w:hAnsi="宋体" w:cs="宋体"/>
          <w:sz w:val="24"/>
        </w:rPr>
      </w:pPr>
      <w:r>
        <w:rPr>
          <w:rFonts w:hint="eastAsia" w:ascii="宋体" w:hAnsi="宋体" w:cs="宋体"/>
          <w:sz w:val="24"/>
        </w:rPr>
        <w:t>联系方式：张老师 010-61772996</w:t>
      </w:r>
    </w:p>
    <w:p>
      <w:pPr>
        <w:spacing w:line="360" w:lineRule="auto"/>
        <w:rPr>
          <w:rFonts w:ascii="宋体" w:hAnsi="宋体" w:cs="宋体"/>
          <w:sz w:val="24"/>
        </w:rPr>
      </w:pPr>
      <w:r>
        <w:rPr>
          <w:rFonts w:hint="eastAsia" w:ascii="宋体" w:hAnsi="宋体" w:cs="宋体"/>
          <w:sz w:val="24"/>
        </w:rPr>
        <w:t>2、采购代理机构信息</w:t>
      </w:r>
    </w:p>
    <w:p>
      <w:pPr>
        <w:spacing w:line="360" w:lineRule="auto"/>
        <w:rPr>
          <w:rFonts w:ascii="宋体" w:hAnsi="宋体" w:cs="宋体"/>
          <w:sz w:val="24"/>
        </w:rPr>
      </w:pPr>
      <w:r>
        <w:rPr>
          <w:rFonts w:hint="eastAsia" w:ascii="宋体" w:hAnsi="宋体" w:cs="宋体"/>
          <w:sz w:val="24"/>
        </w:rPr>
        <w:t>名 称：华采招标集团有限公司</w:t>
      </w:r>
    </w:p>
    <w:p>
      <w:pPr>
        <w:spacing w:line="360" w:lineRule="auto"/>
        <w:rPr>
          <w:rFonts w:ascii="宋体" w:hAnsi="宋体" w:cs="宋体"/>
          <w:sz w:val="24"/>
        </w:rPr>
      </w:pPr>
      <w:r>
        <w:rPr>
          <w:rFonts w:hint="eastAsia" w:ascii="宋体" w:hAnsi="宋体" w:cs="宋体"/>
          <w:sz w:val="24"/>
        </w:rPr>
        <w:t>地　址：北京市丰台区广安路9号国投财富广场6号楼1601室</w:t>
      </w:r>
    </w:p>
    <w:p>
      <w:pPr>
        <w:spacing w:line="360" w:lineRule="auto"/>
        <w:rPr>
          <w:rFonts w:ascii="宋体" w:hAnsi="宋体" w:cs="宋体"/>
          <w:sz w:val="24"/>
        </w:rPr>
      </w:pPr>
      <w:r>
        <w:rPr>
          <w:rFonts w:hint="eastAsia" w:ascii="宋体" w:hAnsi="宋体" w:cs="宋体"/>
          <w:sz w:val="24"/>
        </w:rPr>
        <w:t>联系方式：贾东敏、蒲晓芳、姚冲、刘金秀 186-1228-7813/7807</w:t>
      </w:r>
    </w:p>
    <w:p>
      <w:pPr>
        <w:spacing w:line="360" w:lineRule="auto"/>
        <w:rPr>
          <w:rFonts w:ascii="宋体" w:hAnsi="宋体" w:cs="宋体"/>
          <w:sz w:val="24"/>
        </w:rPr>
      </w:pPr>
      <w:r>
        <w:rPr>
          <w:rFonts w:hint="eastAsia" w:ascii="宋体" w:hAnsi="宋体" w:cs="宋体"/>
          <w:sz w:val="24"/>
        </w:rPr>
        <w:t>3、项目联系方式</w:t>
      </w:r>
    </w:p>
    <w:p>
      <w:pPr>
        <w:spacing w:line="360" w:lineRule="auto"/>
        <w:rPr>
          <w:rFonts w:ascii="宋体" w:hAnsi="宋体" w:cs="宋体"/>
          <w:sz w:val="24"/>
        </w:rPr>
      </w:pPr>
      <w:r>
        <w:rPr>
          <w:rFonts w:hint="eastAsia" w:ascii="宋体" w:hAnsi="宋体" w:cs="宋体"/>
          <w:sz w:val="24"/>
        </w:rPr>
        <w:t>项目联系人：贾东敏、蒲晓芳、姚冲、刘金秀</w:t>
      </w:r>
    </w:p>
    <w:p>
      <w:pPr>
        <w:rPr>
          <w:rFonts w:hint="eastAsia" w:ascii="宋体" w:hAnsi="宋体" w:cs="宋体"/>
          <w:sz w:val="24"/>
        </w:rPr>
      </w:pPr>
      <w:r>
        <w:rPr>
          <w:rFonts w:hint="eastAsia" w:ascii="宋体" w:hAnsi="宋体" w:cs="宋体"/>
          <w:sz w:val="24"/>
        </w:rPr>
        <w:t>电　话：186-1228-7813/7807</w:t>
      </w:r>
    </w:p>
    <w:p>
      <w:pPr>
        <w:pStyle w:val="2"/>
        <w:rPr>
          <w:rFonts w:hint="eastAsia" w:ascii="宋体" w:hAnsi="宋体" w:cs="宋体"/>
          <w:sz w:val="24"/>
        </w:rPr>
      </w:pPr>
    </w:p>
    <w:p>
      <w:pPr>
        <w:pStyle w:val="2"/>
        <w:jc w:val="right"/>
        <w:rPr>
          <w:rFonts w:hint="eastAsia" w:ascii="宋体" w:hAnsi="宋体" w:cs="宋体"/>
          <w:sz w:val="24"/>
        </w:rPr>
      </w:pPr>
      <w:r>
        <w:rPr>
          <w:rFonts w:hint="eastAsia" w:ascii="宋体" w:hAnsi="宋体" w:cs="宋体"/>
          <w:sz w:val="24"/>
        </w:rPr>
        <w:t>华采招标集团有限公司</w:t>
      </w:r>
    </w:p>
    <w:p>
      <w:pPr>
        <w:pStyle w:val="2"/>
        <w:wordWrap w:val="0"/>
        <w:jc w:val="right"/>
        <w:rPr>
          <w:rFonts w:hint="eastAsia" w:ascii="宋体" w:hAnsi="宋体" w:cs="宋体"/>
          <w:sz w:val="24"/>
          <w:lang w:val="en-US" w:eastAsia="zh-CN"/>
        </w:rPr>
      </w:pPr>
      <w:r>
        <w:rPr>
          <w:rFonts w:hint="eastAsia" w:ascii="宋体" w:hAnsi="宋体" w:cs="宋体"/>
          <w:sz w:val="24"/>
          <w:lang w:val="en-US" w:eastAsia="zh-CN"/>
        </w:rPr>
        <w:t xml:space="preserve">2023年7月5日    </w:t>
      </w:r>
    </w:p>
    <w:p>
      <w:pPr>
        <w:pStyle w:val="2"/>
        <w:wordWrap/>
        <w:jc w:val="right"/>
        <w:rPr>
          <w:rFonts w:hint="eastAsia" w:ascii="宋体" w:hAnsi="宋体" w:cs="宋体"/>
          <w:sz w:val="24"/>
          <w:lang w:val="en-US" w:eastAsia="zh-CN"/>
        </w:rPr>
      </w:pPr>
    </w:p>
    <w:p>
      <w:pPr>
        <w:pStyle w:val="2"/>
        <w:wordWrap/>
        <w:ind w:left="0" w:leftChars="0" w:firstLine="0" w:firstLineChars="0"/>
        <w:jc w:val="left"/>
        <w:rPr>
          <w:rFonts w:hint="eastAsia" w:ascii="宋体" w:hAnsi="宋体" w:cs="宋体"/>
          <w:sz w:val="24"/>
          <w:lang w:val="en-US" w:eastAsia="zh-CN"/>
        </w:rPr>
      </w:pPr>
      <w:r>
        <w:rPr>
          <w:rFonts w:hint="eastAsia" w:ascii="宋体" w:hAnsi="宋体" w:cs="宋体"/>
          <w:sz w:val="24"/>
          <w:lang w:val="en-US" w:eastAsia="zh-CN"/>
        </w:rPr>
        <w:t>采购清单：</w:t>
      </w:r>
    </w:p>
    <w:p>
      <w:pPr>
        <w:widowControl/>
        <w:spacing w:line="360" w:lineRule="auto"/>
        <w:rPr>
          <w:rFonts w:ascii="宋体" w:hAnsi="宋体"/>
          <w:sz w:val="24"/>
        </w:rPr>
      </w:pPr>
    </w:p>
    <w:tbl>
      <w:tblPr>
        <w:tblStyle w:val="11"/>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38"/>
        <w:gridCol w:w="763"/>
        <w:gridCol w:w="1013"/>
        <w:gridCol w:w="1184"/>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hint="eastAsia" w:ascii="宋体" w:hAnsi="宋体"/>
                <w:sz w:val="24"/>
              </w:rPr>
              <w:t>序号</w:t>
            </w:r>
          </w:p>
        </w:tc>
        <w:tc>
          <w:tcPr>
            <w:tcW w:w="1638" w:type="dxa"/>
            <w:vAlign w:val="center"/>
          </w:tcPr>
          <w:p>
            <w:pPr>
              <w:jc w:val="center"/>
              <w:rPr>
                <w:rFonts w:ascii="宋体" w:hAnsi="宋体"/>
                <w:sz w:val="24"/>
              </w:rPr>
            </w:pPr>
            <w:r>
              <w:rPr>
                <w:rFonts w:hint="eastAsia" w:ascii="宋体" w:hAnsi="宋体"/>
                <w:sz w:val="24"/>
              </w:rPr>
              <w:t>名称</w:t>
            </w:r>
          </w:p>
        </w:tc>
        <w:tc>
          <w:tcPr>
            <w:tcW w:w="763" w:type="dxa"/>
            <w:vAlign w:val="center"/>
          </w:tcPr>
          <w:p>
            <w:pPr>
              <w:jc w:val="center"/>
              <w:rPr>
                <w:rFonts w:ascii="宋体" w:hAnsi="宋体"/>
                <w:sz w:val="24"/>
              </w:rPr>
            </w:pPr>
            <w:r>
              <w:rPr>
                <w:rFonts w:hint="eastAsia" w:ascii="宋体" w:hAnsi="宋体"/>
                <w:sz w:val="24"/>
              </w:rPr>
              <w:t>数量</w:t>
            </w:r>
          </w:p>
        </w:tc>
        <w:tc>
          <w:tcPr>
            <w:tcW w:w="1013" w:type="dxa"/>
            <w:vAlign w:val="center"/>
          </w:tcPr>
          <w:p>
            <w:pPr>
              <w:jc w:val="center"/>
              <w:rPr>
                <w:rFonts w:ascii="宋体" w:hAnsi="宋体"/>
                <w:sz w:val="24"/>
              </w:rPr>
            </w:pPr>
            <w:r>
              <w:rPr>
                <w:rFonts w:hint="eastAsia" w:ascii="宋体" w:hAnsi="宋体"/>
                <w:sz w:val="24"/>
              </w:rPr>
              <w:t>单位</w:t>
            </w:r>
          </w:p>
        </w:tc>
        <w:tc>
          <w:tcPr>
            <w:tcW w:w="1184" w:type="dxa"/>
            <w:vAlign w:val="center"/>
          </w:tcPr>
          <w:p>
            <w:pPr>
              <w:jc w:val="center"/>
              <w:rPr>
                <w:rFonts w:ascii="宋体" w:hAnsi="宋体"/>
                <w:sz w:val="24"/>
              </w:rPr>
            </w:pPr>
            <w:r>
              <w:rPr>
                <w:rFonts w:hint="eastAsia" w:ascii="宋体" w:hAnsi="宋体"/>
                <w:sz w:val="24"/>
              </w:rPr>
              <w:t>是否接受进口</w:t>
            </w:r>
          </w:p>
        </w:tc>
        <w:tc>
          <w:tcPr>
            <w:tcW w:w="3087" w:type="dxa"/>
            <w:vAlign w:val="center"/>
          </w:tcPr>
          <w:p>
            <w:pPr>
              <w:jc w:val="center"/>
              <w:rPr>
                <w:rFonts w:ascii="宋体" w:hAnsi="宋体"/>
                <w:sz w:val="24"/>
              </w:rPr>
            </w:pPr>
            <w:r>
              <w:rPr>
                <w:rFonts w:hint="eastAsia" w:ascii="宋体" w:hAnsi="宋体"/>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1</w:t>
            </w:r>
          </w:p>
        </w:tc>
        <w:tc>
          <w:tcPr>
            <w:tcW w:w="1638" w:type="dxa"/>
            <w:vAlign w:val="center"/>
          </w:tcPr>
          <w:p>
            <w:pPr>
              <w:jc w:val="center"/>
              <w:rPr>
                <w:rFonts w:ascii="宋体" w:hAnsi="宋体"/>
                <w:sz w:val="24"/>
              </w:rPr>
            </w:pPr>
            <w:r>
              <w:rPr>
                <w:rFonts w:hint="eastAsia" w:ascii="宋体" w:hAnsi="宋体"/>
                <w:sz w:val="24"/>
              </w:rPr>
              <w:t>仿真系统服务器</w:t>
            </w:r>
          </w:p>
        </w:tc>
        <w:tc>
          <w:tcPr>
            <w:tcW w:w="763" w:type="dxa"/>
            <w:vAlign w:val="center"/>
          </w:tcPr>
          <w:p>
            <w:pPr>
              <w:jc w:val="center"/>
              <w:rPr>
                <w:rFonts w:ascii="宋体" w:hAnsi="宋体"/>
                <w:sz w:val="24"/>
              </w:rPr>
            </w:pPr>
            <w:r>
              <w:rPr>
                <w:rFonts w:ascii="宋体" w:hAnsi="宋体"/>
                <w:sz w:val="24"/>
              </w:rPr>
              <w:t xml:space="preserve">1 </w:t>
            </w:r>
          </w:p>
        </w:tc>
        <w:tc>
          <w:tcPr>
            <w:tcW w:w="1013" w:type="dxa"/>
            <w:vAlign w:val="center"/>
          </w:tcPr>
          <w:p>
            <w:pPr>
              <w:jc w:val="center"/>
              <w:rPr>
                <w:rFonts w:ascii="宋体" w:hAnsi="宋体"/>
                <w:sz w:val="24"/>
              </w:rPr>
            </w:pPr>
            <w:r>
              <w:rPr>
                <w:rFonts w:hint="eastAsia" w:ascii="宋体" w:hAnsi="宋体"/>
                <w:sz w:val="24"/>
              </w:rPr>
              <w:t>台</w:t>
            </w:r>
          </w:p>
        </w:tc>
        <w:tc>
          <w:tcPr>
            <w:tcW w:w="1184" w:type="dxa"/>
            <w:vAlign w:val="center"/>
          </w:tcPr>
          <w:p>
            <w:pPr>
              <w:jc w:val="center"/>
              <w:rPr>
                <w:rFonts w:ascii="宋体" w:hAnsi="宋体"/>
                <w:sz w:val="24"/>
              </w:rPr>
            </w:pPr>
            <w:r>
              <w:rPr>
                <w:rFonts w:hint="eastAsia" w:ascii="宋体" w:hAnsi="宋体"/>
                <w:sz w:val="24"/>
              </w:rPr>
              <w:t>否</w:t>
            </w:r>
          </w:p>
        </w:tc>
        <w:tc>
          <w:tcPr>
            <w:tcW w:w="3087" w:type="dxa"/>
            <w:vAlign w:val="center"/>
          </w:tcPr>
          <w:p>
            <w:pPr>
              <w:jc w:val="center"/>
              <w:rPr>
                <w:rFonts w:ascii="宋体" w:hAnsi="宋体"/>
                <w:sz w:val="24"/>
              </w:rPr>
            </w:pPr>
            <w:r>
              <w:rPr>
                <w:rFonts w:ascii="宋体" w:hAnsi="宋体"/>
                <w:sz w:val="24"/>
              </w:rPr>
              <w:t>2</w:t>
            </w:r>
            <w:r>
              <w:rPr>
                <w:rFonts w:hint="eastAsia" w:ascii="宋体" w:hAnsi="宋体"/>
                <w:sz w:val="24"/>
              </w:rPr>
              <w:t>U架式服务器，1</w:t>
            </w:r>
            <w:r>
              <w:rPr>
                <w:rFonts w:ascii="宋体" w:hAnsi="宋体"/>
                <w:sz w:val="24"/>
              </w:rPr>
              <w:t>0</w:t>
            </w:r>
            <w:r>
              <w:rPr>
                <w:rFonts w:hint="eastAsia" w:ascii="宋体" w:hAnsi="宋体"/>
                <w:sz w:val="24"/>
              </w:rPr>
              <w:t>核2</w:t>
            </w:r>
            <w:r>
              <w:rPr>
                <w:rFonts w:ascii="宋体" w:hAnsi="宋体"/>
                <w:sz w:val="24"/>
              </w:rPr>
              <w:t>0</w:t>
            </w:r>
            <w:r>
              <w:rPr>
                <w:rFonts w:hint="eastAsia" w:ascii="宋体" w:hAnsi="宋体"/>
                <w:sz w:val="24"/>
              </w:rPr>
              <w:t>线程，2</w:t>
            </w:r>
            <w:r>
              <w:rPr>
                <w:rFonts w:ascii="宋体" w:hAnsi="宋体"/>
                <w:sz w:val="24"/>
              </w:rPr>
              <w:t>.4</w:t>
            </w:r>
            <w:r>
              <w:rPr>
                <w:rFonts w:hint="eastAsia" w:ascii="宋体" w:hAnsi="宋体"/>
                <w:sz w:val="24"/>
              </w:rPr>
              <w:t>GHz，3</w:t>
            </w:r>
            <w:r>
              <w:rPr>
                <w:rFonts w:ascii="宋体" w:hAnsi="宋体"/>
                <w:sz w:val="24"/>
              </w:rPr>
              <w:t>2</w:t>
            </w:r>
            <w:r>
              <w:rPr>
                <w:rFonts w:hint="eastAsia" w:ascii="宋体" w:hAnsi="宋体"/>
                <w:sz w:val="24"/>
              </w:rPr>
              <w:t>G内存，5T硬盘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2</w:t>
            </w:r>
          </w:p>
        </w:tc>
        <w:tc>
          <w:tcPr>
            <w:tcW w:w="1638" w:type="dxa"/>
            <w:vAlign w:val="center"/>
          </w:tcPr>
          <w:p>
            <w:pPr>
              <w:jc w:val="center"/>
              <w:rPr>
                <w:rFonts w:ascii="宋体" w:hAnsi="宋体"/>
                <w:sz w:val="24"/>
              </w:rPr>
            </w:pPr>
            <w:r>
              <w:rPr>
                <w:rFonts w:hint="eastAsia" w:ascii="宋体" w:hAnsi="宋体"/>
                <w:sz w:val="24"/>
              </w:rPr>
              <w:t>教练员站</w:t>
            </w:r>
          </w:p>
        </w:tc>
        <w:tc>
          <w:tcPr>
            <w:tcW w:w="763" w:type="dxa"/>
            <w:vAlign w:val="center"/>
          </w:tcPr>
          <w:p>
            <w:pPr>
              <w:jc w:val="center"/>
              <w:rPr>
                <w:rFonts w:ascii="宋体" w:hAnsi="宋体"/>
                <w:sz w:val="24"/>
              </w:rPr>
            </w:pPr>
            <w:r>
              <w:rPr>
                <w:rFonts w:ascii="宋体" w:hAnsi="宋体"/>
                <w:sz w:val="24"/>
              </w:rPr>
              <w:t xml:space="preserve">1 </w:t>
            </w:r>
          </w:p>
        </w:tc>
        <w:tc>
          <w:tcPr>
            <w:tcW w:w="1013" w:type="dxa"/>
            <w:vAlign w:val="center"/>
          </w:tcPr>
          <w:p>
            <w:pPr>
              <w:jc w:val="center"/>
              <w:rPr>
                <w:rFonts w:ascii="宋体" w:hAnsi="宋体"/>
                <w:sz w:val="24"/>
              </w:rPr>
            </w:pPr>
            <w:r>
              <w:rPr>
                <w:rFonts w:hint="eastAsia" w:ascii="宋体" w:hAnsi="宋体"/>
                <w:sz w:val="24"/>
              </w:rPr>
              <w:t>台</w:t>
            </w:r>
          </w:p>
        </w:tc>
        <w:tc>
          <w:tcPr>
            <w:tcW w:w="1184" w:type="dxa"/>
            <w:vAlign w:val="center"/>
          </w:tcPr>
          <w:p>
            <w:pPr>
              <w:jc w:val="center"/>
              <w:rPr>
                <w:rFonts w:ascii="宋体" w:hAnsi="宋体"/>
                <w:sz w:val="24"/>
              </w:rPr>
            </w:pPr>
            <w:r>
              <w:rPr>
                <w:rFonts w:hint="eastAsia" w:ascii="宋体" w:hAnsi="宋体"/>
                <w:sz w:val="24"/>
              </w:rPr>
              <w:t>否</w:t>
            </w:r>
          </w:p>
        </w:tc>
        <w:tc>
          <w:tcPr>
            <w:tcW w:w="3087" w:type="dxa"/>
            <w:vAlign w:val="center"/>
          </w:tcPr>
          <w:p>
            <w:pPr>
              <w:jc w:val="center"/>
              <w:rPr>
                <w:rFonts w:ascii="宋体" w:hAnsi="宋体"/>
                <w:sz w:val="24"/>
              </w:rPr>
            </w:pPr>
            <w:r>
              <w:rPr>
                <w:rFonts w:hint="eastAsia" w:ascii="宋体" w:hAnsi="宋体"/>
                <w:sz w:val="24"/>
              </w:rPr>
              <w:t>i</w:t>
            </w:r>
            <w:r>
              <w:rPr>
                <w:rFonts w:ascii="宋体" w:hAnsi="宋体"/>
                <w:sz w:val="24"/>
              </w:rPr>
              <w:t>7</w:t>
            </w:r>
            <w:r>
              <w:rPr>
                <w:rFonts w:hint="eastAsia" w:ascii="宋体" w:hAnsi="宋体"/>
                <w:sz w:val="24"/>
              </w:rPr>
              <w:t>处理器，1</w:t>
            </w:r>
            <w:r>
              <w:rPr>
                <w:rFonts w:ascii="宋体" w:hAnsi="宋体"/>
                <w:sz w:val="24"/>
              </w:rPr>
              <w:t>6</w:t>
            </w:r>
            <w:r>
              <w:rPr>
                <w:rFonts w:hint="eastAsia" w:ascii="宋体" w:hAnsi="宋体"/>
                <w:sz w:val="24"/>
              </w:rPr>
              <w:t>G内存，2</w:t>
            </w:r>
            <w:r>
              <w:rPr>
                <w:rFonts w:ascii="宋体" w:hAnsi="宋体"/>
                <w:sz w:val="24"/>
              </w:rPr>
              <w:t>T</w:t>
            </w:r>
            <w:r>
              <w:rPr>
                <w:rFonts w:hint="eastAsia" w:ascii="宋体" w:hAnsi="宋体"/>
                <w:sz w:val="24"/>
              </w:rPr>
              <w:t>硬盘，</w:t>
            </w:r>
            <w:r>
              <w:rPr>
                <w:rFonts w:ascii="宋体" w:hAnsi="宋体"/>
                <w:sz w:val="24"/>
              </w:rPr>
              <w:t>27</w:t>
            </w:r>
            <w:r>
              <w:rPr>
                <w:rFonts w:hint="eastAsia" w:ascii="宋体" w:hAnsi="宋体"/>
                <w:sz w:val="24"/>
              </w:rPr>
              <w:t>寸高清显示器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3</w:t>
            </w:r>
          </w:p>
        </w:tc>
        <w:tc>
          <w:tcPr>
            <w:tcW w:w="1638" w:type="dxa"/>
            <w:vAlign w:val="center"/>
          </w:tcPr>
          <w:p>
            <w:pPr>
              <w:jc w:val="center"/>
              <w:rPr>
                <w:rFonts w:ascii="宋体" w:hAnsi="宋体"/>
                <w:sz w:val="24"/>
              </w:rPr>
            </w:pPr>
            <w:r>
              <w:rPr>
                <w:rFonts w:hint="eastAsia" w:ascii="宋体" w:hAnsi="宋体"/>
                <w:sz w:val="24"/>
              </w:rPr>
              <w:t>交换机</w:t>
            </w:r>
          </w:p>
        </w:tc>
        <w:tc>
          <w:tcPr>
            <w:tcW w:w="763" w:type="dxa"/>
            <w:vAlign w:val="center"/>
          </w:tcPr>
          <w:p>
            <w:pPr>
              <w:jc w:val="center"/>
              <w:rPr>
                <w:rFonts w:ascii="宋体" w:hAnsi="宋体"/>
                <w:sz w:val="24"/>
              </w:rPr>
            </w:pPr>
            <w:r>
              <w:rPr>
                <w:rFonts w:ascii="宋体" w:hAnsi="宋体"/>
                <w:sz w:val="24"/>
              </w:rPr>
              <w:t xml:space="preserve">1 </w:t>
            </w:r>
          </w:p>
        </w:tc>
        <w:tc>
          <w:tcPr>
            <w:tcW w:w="1013" w:type="dxa"/>
            <w:vAlign w:val="center"/>
          </w:tcPr>
          <w:p>
            <w:pPr>
              <w:jc w:val="center"/>
              <w:rPr>
                <w:rFonts w:ascii="宋体" w:hAnsi="宋体"/>
                <w:sz w:val="24"/>
              </w:rPr>
            </w:pPr>
            <w:r>
              <w:rPr>
                <w:rFonts w:hint="eastAsia" w:ascii="宋体" w:hAnsi="宋体"/>
                <w:sz w:val="24"/>
              </w:rPr>
              <w:t>台</w:t>
            </w:r>
          </w:p>
        </w:tc>
        <w:tc>
          <w:tcPr>
            <w:tcW w:w="1184" w:type="dxa"/>
            <w:vAlign w:val="center"/>
          </w:tcPr>
          <w:p>
            <w:pPr>
              <w:jc w:val="center"/>
              <w:rPr>
                <w:rFonts w:ascii="宋体" w:hAnsi="宋体"/>
                <w:sz w:val="24"/>
              </w:rPr>
            </w:pPr>
            <w:r>
              <w:rPr>
                <w:rFonts w:hint="eastAsia" w:ascii="宋体" w:hAnsi="宋体"/>
                <w:sz w:val="24"/>
              </w:rPr>
              <w:t>否</w:t>
            </w:r>
          </w:p>
        </w:tc>
        <w:tc>
          <w:tcPr>
            <w:tcW w:w="3087" w:type="dxa"/>
            <w:vAlign w:val="center"/>
          </w:tcPr>
          <w:p>
            <w:pPr>
              <w:jc w:val="center"/>
              <w:rPr>
                <w:rFonts w:ascii="宋体" w:hAnsi="宋体"/>
                <w:sz w:val="24"/>
              </w:rPr>
            </w:pPr>
            <w:r>
              <w:rPr>
                <w:rFonts w:hint="eastAsia" w:ascii="宋体" w:hAnsi="宋体"/>
                <w:sz w:val="24"/>
              </w:rPr>
              <w:t>网管型交换机，带有</w:t>
            </w:r>
            <w:r>
              <w:rPr>
                <w:rFonts w:ascii="宋体" w:hAnsi="宋体"/>
                <w:sz w:val="24"/>
              </w:rPr>
              <w:t>8 个以上10/100Mbit/s RJ45接口，支持多模光纤接口，LED诊断功能，故障信号显示，连接设置按钮，冗余电源输入，可组成冗余环网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4</w:t>
            </w:r>
          </w:p>
        </w:tc>
        <w:tc>
          <w:tcPr>
            <w:tcW w:w="1638" w:type="dxa"/>
            <w:vAlign w:val="center"/>
          </w:tcPr>
          <w:p>
            <w:pPr>
              <w:jc w:val="center"/>
              <w:rPr>
                <w:rFonts w:ascii="宋体" w:hAnsi="宋体"/>
                <w:sz w:val="24"/>
              </w:rPr>
            </w:pPr>
            <w:r>
              <w:rPr>
                <w:rFonts w:hint="eastAsia" w:ascii="宋体" w:hAnsi="宋体"/>
                <w:sz w:val="24"/>
              </w:rPr>
              <w:t>工控机及控件</w:t>
            </w:r>
          </w:p>
        </w:tc>
        <w:tc>
          <w:tcPr>
            <w:tcW w:w="763" w:type="dxa"/>
            <w:vAlign w:val="center"/>
          </w:tcPr>
          <w:p>
            <w:pPr>
              <w:jc w:val="center"/>
              <w:rPr>
                <w:rFonts w:ascii="宋体" w:hAnsi="宋体"/>
                <w:sz w:val="24"/>
              </w:rPr>
            </w:pPr>
            <w:r>
              <w:rPr>
                <w:rFonts w:ascii="宋体" w:hAnsi="宋体"/>
                <w:sz w:val="24"/>
              </w:rPr>
              <w:t xml:space="preserve">1 </w:t>
            </w:r>
          </w:p>
        </w:tc>
        <w:tc>
          <w:tcPr>
            <w:tcW w:w="1013" w:type="dxa"/>
            <w:vAlign w:val="center"/>
          </w:tcPr>
          <w:p>
            <w:pPr>
              <w:jc w:val="center"/>
              <w:rPr>
                <w:rFonts w:ascii="宋体" w:hAnsi="宋体"/>
                <w:sz w:val="24"/>
              </w:rPr>
            </w:pPr>
            <w:r>
              <w:rPr>
                <w:rFonts w:hint="eastAsia" w:ascii="宋体" w:hAnsi="宋体"/>
                <w:sz w:val="24"/>
              </w:rPr>
              <w:t>套</w:t>
            </w:r>
          </w:p>
        </w:tc>
        <w:tc>
          <w:tcPr>
            <w:tcW w:w="1184" w:type="dxa"/>
            <w:vAlign w:val="center"/>
          </w:tcPr>
          <w:p>
            <w:pPr>
              <w:jc w:val="center"/>
              <w:rPr>
                <w:rFonts w:ascii="宋体" w:hAnsi="宋体"/>
                <w:sz w:val="24"/>
              </w:rPr>
            </w:pPr>
            <w:r>
              <w:rPr>
                <w:rFonts w:hint="eastAsia" w:ascii="宋体" w:hAnsi="宋体"/>
                <w:sz w:val="24"/>
              </w:rPr>
              <w:t>否</w:t>
            </w:r>
          </w:p>
        </w:tc>
        <w:tc>
          <w:tcPr>
            <w:tcW w:w="3087" w:type="dxa"/>
            <w:vAlign w:val="center"/>
          </w:tcPr>
          <w:p>
            <w:pPr>
              <w:jc w:val="center"/>
              <w:rPr>
                <w:rFonts w:ascii="宋体" w:hAnsi="宋体"/>
                <w:sz w:val="24"/>
              </w:rPr>
            </w:pPr>
            <w:r>
              <w:rPr>
                <w:rFonts w:hint="eastAsia" w:ascii="宋体" w:hAnsi="宋体"/>
                <w:sz w:val="24"/>
              </w:rPr>
              <w:t>i</w:t>
            </w:r>
            <w:r>
              <w:rPr>
                <w:rFonts w:ascii="宋体" w:hAnsi="宋体"/>
                <w:sz w:val="24"/>
              </w:rPr>
              <w:t>7</w:t>
            </w:r>
            <w:r>
              <w:rPr>
                <w:rFonts w:hint="eastAsia" w:ascii="宋体" w:hAnsi="宋体"/>
                <w:sz w:val="24"/>
              </w:rPr>
              <w:t>处理器，1</w:t>
            </w:r>
            <w:r>
              <w:rPr>
                <w:rFonts w:ascii="宋体" w:hAnsi="宋体"/>
                <w:sz w:val="24"/>
              </w:rPr>
              <w:t>6</w:t>
            </w:r>
            <w:r>
              <w:rPr>
                <w:rFonts w:hint="eastAsia" w:ascii="宋体" w:hAnsi="宋体"/>
                <w:sz w:val="24"/>
              </w:rPr>
              <w:t>G内存，2</w:t>
            </w:r>
            <w:r>
              <w:rPr>
                <w:rFonts w:ascii="宋体" w:hAnsi="宋体"/>
                <w:sz w:val="24"/>
              </w:rPr>
              <w:t>T</w:t>
            </w:r>
            <w:r>
              <w:rPr>
                <w:rFonts w:hint="eastAsia" w:ascii="宋体" w:hAnsi="宋体"/>
                <w:sz w:val="24"/>
              </w:rPr>
              <w:t>硬盘，</w:t>
            </w:r>
            <w:r>
              <w:rPr>
                <w:rFonts w:ascii="宋体" w:hAnsi="宋体"/>
                <w:sz w:val="24"/>
              </w:rPr>
              <w:t>27</w:t>
            </w:r>
            <w:r>
              <w:rPr>
                <w:rFonts w:hint="eastAsia" w:ascii="宋体" w:hAnsi="宋体"/>
                <w:sz w:val="24"/>
              </w:rPr>
              <w:t>寸高清显示器，含AO，DO输出控件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5</w:t>
            </w:r>
          </w:p>
        </w:tc>
        <w:tc>
          <w:tcPr>
            <w:tcW w:w="1638" w:type="dxa"/>
            <w:vAlign w:val="center"/>
          </w:tcPr>
          <w:p>
            <w:pPr>
              <w:jc w:val="center"/>
              <w:rPr>
                <w:rFonts w:ascii="宋体" w:hAnsi="宋体"/>
                <w:sz w:val="24"/>
              </w:rPr>
            </w:pPr>
            <w:r>
              <w:rPr>
                <w:rFonts w:hint="eastAsia" w:ascii="宋体" w:hAnsi="宋体"/>
                <w:sz w:val="24"/>
              </w:rPr>
              <w:t>仿真软件</w:t>
            </w:r>
          </w:p>
        </w:tc>
        <w:tc>
          <w:tcPr>
            <w:tcW w:w="763" w:type="dxa"/>
            <w:vAlign w:val="center"/>
          </w:tcPr>
          <w:p>
            <w:pPr>
              <w:jc w:val="center"/>
              <w:rPr>
                <w:rFonts w:ascii="宋体" w:hAnsi="宋体"/>
                <w:sz w:val="24"/>
              </w:rPr>
            </w:pPr>
            <w:r>
              <w:rPr>
                <w:rFonts w:ascii="宋体" w:hAnsi="宋体"/>
                <w:sz w:val="24"/>
              </w:rPr>
              <w:t xml:space="preserve">1 </w:t>
            </w:r>
          </w:p>
        </w:tc>
        <w:tc>
          <w:tcPr>
            <w:tcW w:w="1013" w:type="dxa"/>
            <w:vAlign w:val="center"/>
          </w:tcPr>
          <w:p>
            <w:pPr>
              <w:jc w:val="center"/>
              <w:rPr>
                <w:rFonts w:ascii="宋体" w:hAnsi="宋体"/>
                <w:sz w:val="24"/>
              </w:rPr>
            </w:pPr>
            <w:r>
              <w:rPr>
                <w:rFonts w:hint="eastAsia" w:ascii="宋体" w:hAnsi="宋体"/>
                <w:sz w:val="24"/>
              </w:rPr>
              <w:t>套</w:t>
            </w:r>
          </w:p>
        </w:tc>
        <w:tc>
          <w:tcPr>
            <w:tcW w:w="1184" w:type="dxa"/>
            <w:vAlign w:val="center"/>
          </w:tcPr>
          <w:p>
            <w:pPr>
              <w:jc w:val="center"/>
              <w:rPr>
                <w:rFonts w:ascii="宋体" w:hAnsi="宋体"/>
                <w:sz w:val="24"/>
              </w:rPr>
            </w:pPr>
            <w:r>
              <w:rPr>
                <w:rFonts w:hint="eastAsia" w:ascii="宋体" w:hAnsi="宋体"/>
                <w:sz w:val="24"/>
              </w:rPr>
              <w:t>否</w:t>
            </w:r>
          </w:p>
        </w:tc>
        <w:tc>
          <w:tcPr>
            <w:tcW w:w="3087" w:type="dxa"/>
            <w:vAlign w:val="center"/>
          </w:tcPr>
          <w:p>
            <w:pPr>
              <w:jc w:val="center"/>
              <w:rPr>
                <w:rFonts w:ascii="宋体" w:hAnsi="宋体"/>
                <w:sz w:val="24"/>
              </w:rPr>
            </w:pPr>
            <w:r>
              <w:rPr>
                <w:rFonts w:hint="eastAsia" w:ascii="宋体" w:hAnsi="宋体"/>
                <w:sz w:val="24"/>
                <w:highlight w:val="none"/>
              </w:rPr>
              <w:t>根据功能需求定制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6</w:t>
            </w:r>
          </w:p>
        </w:tc>
        <w:tc>
          <w:tcPr>
            <w:tcW w:w="1638" w:type="dxa"/>
            <w:vAlign w:val="center"/>
          </w:tcPr>
          <w:p>
            <w:pPr>
              <w:jc w:val="center"/>
              <w:rPr>
                <w:rFonts w:ascii="宋体" w:hAnsi="宋体"/>
                <w:sz w:val="24"/>
              </w:rPr>
            </w:pPr>
            <w:r>
              <w:rPr>
                <w:rFonts w:hint="eastAsia" w:ascii="宋体" w:hAnsi="宋体"/>
                <w:sz w:val="24"/>
              </w:rPr>
              <w:t>机柜</w:t>
            </w:r>
          </w:p>
        </w:tc>
        <w:tc>
          <w:tcPr>
            <w:tcW w:w="763" w:type="dxa"/>
            <w:vAlign w:val="center"/>
          </w:tcPr>
          <w:p>
            <w:pPr>
              <w:jc w:val="center"/>
              <w:rPr>
                <w:rFonts w:ascii="宋体" w:hAnsi="宋体"/>
                <w:sz w:val="24"/>
              </w:rPr>
            </w:pPr>
            <w:r>
              <w:rPr>
                <w:rFonts w:ascii="宋体" w:hAnsi="宋体"/>
                <w:sz w:val="24"/>
              </w:rPr>
              <w:t xml:space="preserve">1 </w:t>
            </w:r>
          </w:p>
        </w:tc>
        <w:tc>
          <w:tcPr>
            <w:tcW w:w="1013" w:type="dxa"/>
            <w:vAlign w:val="center"/>
          </w:tcPr>
          <w:p>
            <w:pPr>
              <w:jc w:val="center"/>
              <w:rPr>
                <w:rFonts w:ascii="宋体" w:hAnsi="宋体"/>
                <w:sz w:val="24"/>
              </w:rPr>
            </w:pPr>
            <w:r>
              <w:rPr>
                <w:rFonts w:hint="eastAsia" w:ascii="宋体" w:hAnsi="宋体"/>
                <w:sz w:val="24"/>
              </w:rPr>
              <w:t>台</w:t>
            </w:r>
          </w:p>
        </w:tc>
        <w:tc>
          <w:tcPr>
            <w:tcW w:w="1184" w:type="dxa"/>
            <w:vAlign w:val="center"/>
          </w:tcPr>
          <w:p>
            <w:pPr>
              <w:jc w:val="center"/>
              <w:rPr>
                <w:rFonts w:ascii="宋体" w:hAnsi="宋体"/>
                <w:sz w:val="24"/>
              </w:rPr>
            </w:pPr>
            <w:r>
              <w:rPr>
                <w:rFonts w:hint="eastAsia" w:ascii="宋体" w:hAnsi="宋体"/>
                <w:sz w:val="24"/>
              </w:rPr>
              <w:t>否</w:t>
            </w:r>
          </w:p>
        </w:tc>
        <w:tc>
          <w:tcPr>
            <w:tcW w:w="3087" w:type="dxa"/>
            <w:vAlign w:val="center"/>
          </w:tcPr>
          <w:p>
            <w:pPr>
              <w:jc w:val="center"/>
              <w:rPr>
                <w:rFonts w:ascii="宋体" w:hAnsi="宋体"/>
                <w:sz w:val="24"/>
              </w:rPr>
            </w:pPr>
            <w:r>
              <w:rPr>
                <w:rFonts w:ascii="宋体" w:hAnsi="宋体"/>
                <w:sz w:val="24"/>
              </w:rPr>
              <w:t>600</w:t>
            </w:r>
            <w:r>
              <w:rPr>
                <w:rFonts w:hint="eastAsia" w:ascii="宋体" w:hAnsi="宋体"/>
                <w:sz w:val="24"/>
              </w:rPr>
              <w:t>mm（宽）</w:t>
            </w:r>
            <w:r>
              <w:rPr>
                <w:rFonts w:ascii="宋体" w:hAnsi="宋体"/>
                <w:sz w:val="24"/>
              </w:rPr>
              <w:t>*1000</w:t>
            </w:r>
            <w:r>
              <w:rPr>
                <w:rFonts w:hint="eastAsia" w:ascii="宋体" w:hAnsi="宋体"/>
                <w:sz w:val="24"/>
              </w:rPr>
              <w:t>mm（深）*</w:t>
            </w:r>
            <w:r>
              <w:rPr>
                <w:rFonts w:ascii="宋体" w:hAnsi="宋体"/>
                <w:sz w:val="24"/>
              </w:rPr>
              <w:t>2000</w:t>
            </w:r>
            <w:r>
              <w:rPr>
                <w:rFonts w:hint="eastAsia" w:ascii="宋体" w:hAnsi="宋体"/>
                <w:sz w:val="24"/>
              </w:rPr>
              <w:t>mm（高），前后门为网状单开门，安装方式为底部槽钢螺栓安装；颜色：亚光黑</w:t>
            </w:r>
            <w:r>
              <w:rPr>
                <w:rFonts w:ascii="宋体" w:hAnsi="宋体"/>
                <w:sz w:val="24"/>
              </w:rPr>
              <w:t xml:space="preserve"> RAL9004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3" w:type="dxa"/>
            <w:vAlign w:val="center"/>
          </w:tcPr>
          <w:p>
            <w:pPr>
              <w:jc w:val="center"/>
              <w:rPr>
                <w:rFonts w:ascii="宋体" w:hAnsi="宋体"/>
                <w:sz w:val="24"/>
              </w:rPr>
            </w:pPr>
            <w:r>
              <w:rPr>
                <w:rFonts w:ascii="宋体" w:hAnsi="宋体"/>
                <w:sz w:val="24"/>
              </w:rPr>
              <w:t>7</w:t>
            </w:r>
          </w:p>
        </w:tc>
        <w:tc>
          <w:tcPr>
            <w:tcW w:w="1638" w:type="dxa"/>
            <w:vAlign w:val="center"/>
          </w:tcPr>
          <w:p>
            <w:pPr>
              <w:jc w:val="center"/>
              <w:rPr>
                <w:rFonts w:ascii="宋体" w:hAnsi="宋体"/>
                <w:sz w:val="24"/>
              </w:rPr>
            </w:pPr>
            <w:r>
              <w:rPr>
                <w:rFonts w:hint="eastAsia" w:ascii="宋体" w:hAnsi="宋体"/>
                <w:sz w:val="24"/>
              </w:rPr>
              <w:t>必要线路、安装调试培训服务</w:t>
            </w:r>
          </w:p>
        </w:tc>
        <w:tc>
          <w:tcPr>
            <w:tcW w:w="763" w:type="dxa"/>
            <w:vAlign w:val="center"/>
          </w:tcPr>
          <w:p>
            <w:pPr>
              <w:jc w:val="center"/>
              <w:rPr>
                <w:rFonts w:ascii="宋体" w:hAnsi="宋体"/>
                <w:sz w:val="24"/>
              </w:rPr>
            </w:pPr>
            <w:r>
              <w:rPr>
                <w:rFonts w:ascii="宋体" w:hAnsi="宋体"/>
                <w:sz w:val="24"/>
              </w:rPr>
              <w:t>--</w:t>
            </w:r>
          </w:p>
        </w:tc>
        <w:tc>
          <w:tcPr>
            <w:tcW w:w="1013" w:type="dxa"/>
            <w:vAlign w:val="center"/>
          </w:tcPr>
          <w:p>
            <w:pPr>
              <w:jc w:val="center"/>
              <w:rPr>
                <w:rFonts w:ascii="宋体" w:hAnsi="宋体"/>
                <w:sz w:val="24"/>
              </w:rPr>
            </w:pPr>
            <w:r>
              <w:rPr>
                <w:rFonts w:ascii="宋体" w:hAnsi="宋体"/>
                <w:sz w:val="24"/>
              </w:rPr>
              <w:t>--</w:t>
            </w:r>
          </w:p>
        </w:tc>
        <w:tc>
          <w:tcPr>
            <w:tcW w:w="1184" w:type="dxa"/>
            <w:vAlign w:val="center"/>
          </w:tcPr>
          <w:p>
            <w:pPr>
              <w:jc w:val="center"/>
              <w:rPr>
                <w:rFonts w:ascii="宋体" w:hAnsi="宋体"/>
                <w:sz w:val="24"/>
              </w:rPr>
            </w:pPr>
            <w:r>
              <w:rPr>
                <w:rFonts w:ascii="宋体" w:hAnsi="宋体"/>
                <w:sz w:val="24"/>
              </w:rPr>
              <w:t>--</w:t>
            </w:r>
          </w:p>
        </w:tc>
        <w:tc>
          <w:tcPr>
            <w:tcW w:w="3087" w:type="dxa"/>
            <w:vAlign w:val="center"/>
          </w:tcPr>
          <w:p>
            <w:pPr>
              <w:jc w:val="center"/>
              <w:rPr>
                <w:rFonts w:ascii="宋体" w:hAnsi="宋体"/>
                <w:sz w:val="24"/>
              </w:rPr>
            </w:pPr>
            <w:r>
              <w:rPr>
                <w:rFonts w:ascii="宋体" w:hAnsi="宋体"/>
                <w:sz w:val="24"/>
              </w:rPr>
              <w:t>--</w:t>
            </w:r>
          </w:p>
        </w:tc>
      </w:tr>
    </w:tbl>
    <w:p>
      <w:pPr>
        <w:pStyle w:val="2"/>
        <w:wordWrap/>
        <w:ind w:left="0" w:leftChars="0" w:firstLine="0" w:firstLineChars="0"/>
        <w:jc w:val="left"/>
        <w:rPr>
          <w:rFonts w:hint="default"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ZGJlMTVlNWY4OGEzMTY5NTU4NDQ4NzFmMzdjNjMifQ=="/>
  </w:docVars>
  <w:rsids>
    <w:rsidRoot w:val="00000000"/>
    <w:rsid w:val="0AD726B2"/>
    <w:rsid w:val="4E51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autoSpaceDE w:val="0"/>
      <w:autoSpaceDN w:val="0"/>
      <w:adjustRightInd w:val="0"/>
      <w:spacing w:before="120" w:line="22" w:lineRule="atLeast"/>
      <w:ind w:left="720" w:firstLine="480"/>
      <w:jc w:val="left"/>
    </w:pPr>
    <w:rPr>
      <w:sz w:val="16"/>
      <w:szCs w:val="16"/>
    </w:rPr>
  </w:style>
  <w:style w:type="paragraph" w:styleId="4">
    <w:name w:val="Body Text"/>
    <w:basedOn w:val="1"/>
    <w:next w:val="1"/>
    <w:qFormat/>
    <w:uiPriority w:val="0"/>
    <w:pPr>
      <w:tabs>
        <w:tab w:val="left" w:pos="567"/>
      </w:tabs>
      <w:spacing w:before="120" w:line="22" w:lineRule="atLeast"/>
    </w:pPr>
    <w:rPr>
      <w:sz w:val="24"/>
    </w:rPr>
  </w:style>
  <w:style w:type="paragraph" w:styleId="5">
    <w:name w:val="Body Text Indent"/>
    <w:basedOn w:val="1"/>
    <w:next w:val="6"/>
    <w:qFormat/>
    <w:uiPriority w:val="0"/>
    <w:pPr>
      <w:tabs>
        <w:tab w:val="left" w:pos="5580"/>
      </w:tabs>
      <w:spacing w:before="120" w:line="360" w:lineRule="auto"/>
      <w:ind w:firstLine="454"/>
    </w:pPr>
    <w:rPr>
      <w:sz w:val="24"/>
    </w:rPr>
  </w:style>
  <w:style w:type="paragraph" w:styleId="6">
    <w:name w:val="envelope return"/>
    <w:basedOn w:val="1"/>
    <w:qFormat/>
    <w:uiPriority w:val="99"/>
    <w:pPr>
      <w:snapToGrid w:val="0"/>
    </w:pPr>
    <w:rPr>
      <w:rFonts w:ascii="Arial" w:hAnsi="Arial" w:cs="Arial"/>
    </w:rPr>
  </w:style>
  <w:style w:type="paragraph" w:styleId="7">
    <w:name w:val="toc 6"/>
    <w:basedOn w:val="1"/>
    <w:next w:val="1"/>
    <w:qFormat/>
    <w:uiPriority w:val="39"/>
    <w:pPr>
      <w:ind w:left="1050"/>
      <w:jc w:val="left"/>
    </w:pPr>
    <w:rPr>
      <w:sz w:val="20"/>
      <w:szCs w:val="20"/>
    </w:rPr>
  </w:style>
  <w:style w:type="paragraph" w:styleId="8">
    <w:name w:val="Body Text First Indent"/>
    <w:basedOn w:val="4"/>
    <w:next w:val="7"/>
    <w:qFormat/>
    <w:uiPriority w:val="0"/>
    <w:pPr>
      <w:spacing w:before="0" w:after="120" w:line="240" w:lineRule="auto"/>
      <w:ind w:firstLine="420" w:firstLineChars="100"/>
    </w:pPr>
  </w:style>
  <w:style w:type="paragraph" w:styleId="9">
    <w:name w:val="Body Text First Indent 2"/>
    <w:basedOn w:val="5"/>
    <w:next w:val="8"/>
    <w:qFormat/>
    <w:uiPriority w:val="0"/>
    <w:pPr>
      <w:ind w:firstLine="420" w:firstLineChars="200"/>
    </w:p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2023-07-05T08:09:00Z</dcterms:created>
  <dc:creator>Administrator</dc:creator>
  <cp:lastModifiedBy>Administrator</cp:lastModifiedBy>
  <dcterms:modified xsi:type="dcterms:W3CDTF">2023-07-05T08:28:44Z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46996D9FF11F48CAB9D5EA6E6B9E7930_12</vt:lpwstr>
  </property>
</Properties>
</file>