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华北电力大学虚拟仿真教学实验中心硬件设备</w:t>
      </w:r>
    </w:p>
    <w:p>
      <w:pPr>
        <w:spacing w:line="360" w:lineRule="auto"/>
        <w:jc w:val="center"/>
        <w:rPr>
          <w:rFonts w:ascii="宋体" w:hAnsi="宋体"/>
          <w:b/>
          <w:sz w:val="84"/>
          <w:szCs w:val="84"/>
        </w:rPr>
      </w:pPr>
      <w:r>
        <w:rPr>
          <w:rFonts w:hint="eastAsia" w:ascii="宋体" w:hAnsi="宋体"/>
          <w:b/>
          <w:sz w:val="84"/>
          <w:szCs w:val="84"/>
        </w:rPr>
        <w:t>招标文件</w:t>
      </w:r>
    </w:p>
    <w:p>
      <w:pPr>
        <w:spacing w:line="360" w:lineRule="auto"/>
        <w:jc w:val="center"/>
        <w:rPr>
          <w:rFonts w:ascii="宋体" w:hAnsi="宋体"/>
          <w:b/>
          <w:sz w:val="32"/>
          <w:szCs w:val="32"/>
        </w:rPr>
      </w:pPr>
      <w:r>
        <w:rPr>
          <w:rFonts w:hint="eastAsia" w:ascii="宋体" w:hAnsi="宋体"/>
          <w:b/>
          <w:sz w:val="32"/>
          <w:szCs w:val="32"/>
        </w:rPr>
        <w:t xml:space="preserve">项目代理编号：HCZB-2022-ZB0592 </w:t>
      </w:r>
      <w:r>
        <w:rPr>
          <w:rFonts w:ascii="宋体" w:hAnsi="宋体"/>
          <w:b/>
          <w:sz w:val="32"/>
          <w:szCs w:val="32"/>
        </w:rPr>
        <w:t xml:space="preserve">  </w:t>
      </w:r>
    </w:p>
    <w:p>
      <w:pPr>
        <w:spacing w:line="360" w:lineRule="auto"/>
        <w:jc w:val="center"/>
      </w:pPr>
      <w:r>
        <w:drawing>
          <wp:inline distT="0" distB="0" distL="114300" distR="114300">
            <wp:extent cx="3514725" cy="4295775"/>
            <wp:effectExtent l="0" t="0" r="317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5" cstate="print">
                      <a:lum contrast="20000"/>
                      <a:extLst>
                        <a:ext uri="{28A0092B-C50C-407E-A947-70E740481C1C}">
                          <a14:useLocalDpi xmlns:a14="http://schemas.microsoft.com/office/drawing/2010/main" val="0"/>
                        </a:ext>
                      </a:extLst>
                    </a:blip>
                    <a:srcRect/>
                    <a:stretch>
                      <a:fillRect/>
                    </a:stretch>
                  </pic:blipFill>
                  <pic:spPr>
                    <a:xfrm>
                      <a:off x="0" y="0"/>
                      <a:ext cx="3514725" cy="4295775"/>
                    </a:xfrm>
                    <a:prstGeom prst="rect">
                      <a:avLst/>
                    </a:prstGeom>
                    <a:noFill/>
                    <a:ln>
                      <a:noFill/>
                    </a:ln>
                  </pic:spPr>
                </pic:pic>
              </a:graphicData>
            </a:graphic>
          </wp:inline>
        </w:drawing>
      </w:r>
    </w:p>
    <w:p>
      <w:pPr>
        <w:pStyle w:val="19"/>
      </w:pPr>
    </w:p>
    <w:p>
      <w:pPr>
        <w:spacing w:line="360" w:lineRule="auto"/>
        <w:jc w:val="center"/>
        <w:rPr>
          <w:rFonts w:ascii="宋体" w:hAnsi="宋体"/>
          <w:b/>
          <w:sz w:val="32"/>
          <w:szCs w:val="32"/>
        </w:rPr>
      </w:pPr>
    </w:p>
    <w:p>
      <w:pPr>
        <w:spacing w:line="360" w:lineRule="auto"/>
        <w:jc w:val="center"/>
        <w:rPr>
          <w:rFonts w:ascii="宋体" w:hAnsi="宋体"/>
          <w:b/>
          <w:sz w:val="24"/>
        </w:rPr>
      </w:pPr>
      <w:r>
        <w:rPr>
          <w:rFonts w:hint="eastAsia" w:ascii="宋体" w:hAnsi="宋体"/>
          <w:b/>
          <w:sz w:val="32"/>
          <w:szCs w:val="32"/>
        </w:rPr>
        <w:t>华采招标集团有限公司</w:t>
      </w:r>
    </w:p>
    <w:p>
      <w:pPr>
        <w:spacing w:line="360" w:lineRule="auto"/>
        <w:jc w:val="center"/>
        <w:rPr>
          <w:rFonts w:ascii="宋体" w:hAnsi="宋体"/>
          <w:b/>
          <w:w w:val="80"/>
          <w:sz w:val="32"/>
          <w:szCs w:val="32"/>
        </w:rPr>
        <w:sectPr>
          <w:headerReference r:id="rId4" w:type="first"/>
          <w:headerReference r:id="rId3" w:type="default"/>
          <w:footerReference r:id="rId5" w:type="default"/>
          <w:footerReference r:id="rId6" w:type="even"/>
          <w:pgSz w:w="11905" w:h="16838"/>
          <w:pgMar w:top="1088" w:right="1417" w:bottom="1400" w:left="1417" w:header="567" w:footer="850" w:gutter="0"/>
          <w:pgNumType w:start="1"/>
          <w:cols w:space="0" w:num="1"/>
          <w:docGrid w:linePitch="462" w:charSpace="0"/>
        </w:sectPr>
      </w:pPr>
      <w:r>
        <w:rPr>
          <w:rFonts w:hint="eastAsia" w:ascii="宋体" w:hAnsi="宋体"/>
          <w:b/>
          <w:w w:val="80"/>
          <w:sz w:val="32"/>
          <w:szCs w:val="32"/>
        </w:rPr>
        <w:t>2022年6月</w:t>
      </w:r>
    </w:p>
    <w:p>
      <w:pPr>
        <w:pStyle w:val="16"/>
        <w:tabs>
          <w:tab w:val="right" w:leader="dot" w:pos="9061"/>
        </w:tabs>
        <w:jc w:val="center"/>
        <w:rPr>
          <w:sz w:val="36"/>
          <w:szCs w:val="36"/>
        </w:rPr>
      </w:pPr>
      <w:r>
        <w:rPr>
          <w:rFonts w:hint="eastAsia"/>
          <w:sz w:val="36"/>
          <w:szCs w:val="36"/>
        </w:rPr>
        <w:t>目录</w:t>
      </w:r>
    </w:p>
    <w:sdt>
      <w:sdtPr>
        <w:rPr>
          <w:rFonts w:ascii="宋体" w:hAnsi="宋体"/>
        </w:rPr>
        <w:id w:val="147479375"/>
        <w:docPartObj>
          <w:docPartGallery w:val="Table of Contents"/>
          <w:docPartUnique/>
        </w:docPartObj>
      </w:sdtPr>
      <w:sdtEndPr>
        <w:rPr>
          <w:rFonts w:ascii="宋体" w:hAnsi="宋体"/>
        </w:rPr>
      </w:sdtEndPr>
      <w:sdtContent>
        <w:p>
          <w:pPr>
            <w:jc w:val="center"/>
          </w:pPr>
        </w:p>
        <w:p>
          <w:pPr>
            <w:pStyle w:val="16"/>
            <w:tabs>
              <w:tab w:val="right" w:leader="dot" w:pos="9040"/>
            </w:tabs>
          </w:pPr>
          <w:r>
            <w:fldChar w:fldCharType="begin"/>
          </w:r>
          <w:r>
            <w:instrText xml:space="preserve">TOC \o "1-3" \h \u </w:instrText>
          </w:r>
          <w:r>
            <w:fldChar w:fldCharType="separate"/>
          </w:r>
          <w:r>
            <w:fldChar w:fldCharType="begin"/>
          </w:r>
          <w:r>
            <w:instrText xml:space="preserve"> HYPERLINK \l "_Toc29691" </w:instrText>
          </w:r>
          <w:r>
            <w:fldChar w:fldCharType="separate"/>
          </w:r>
          <w:r>
            <w:rPr>
              <w:rFonts w:hint="eastAsia" w:hAnsi="宋体"/>
              <w:szCs w:val="28"/>
            </w:rPr>
            <w:t>第一章 投标邀请</w:t>
          </w:r>
          <w:r>
            <w:tab/>
          </w:r>
          <w:r>
            <w:fldChar w:fldCharType="begin"/>
          </w:r>
          <w:r>
            <w:instrText xml:space="preserve"> PAGEREF _Toc29691 \h </w:instrText>
          </w:r>
          <w:r>
            <w:fldChar w:fldCharType="separate"/>
          </w:r>
          <w:r>
            <w:t>4</w:t>
          </w:r>
          <w:r>
            <w:fldChar w:fldCharType="end"/>
          </w:r>
          <w:r>
            <w:fldChar w:fldCharType="end"/>
          </w:r>
        </w:p>
        <w:p>
          <w:pPr>
            <w:pStyle w:val="16"/>
            <w:tabs>
              <w:tab w:val="right" w:leader="dot" w:pos="9040"/>
            </w:tabs>
          </w:pPr>
          <w:r>
            <w:fldChar w:fldCharType="begin"/>
          </w:r>
          <w:r>
            <w:instrText xml:space="preserve"> HYPERLINK \l "_Toc4129" </w:instrText>
          </w:r>
          <w:r>
            <w:fldChar w:fldCharType="separate"/>
          </w:r>
          <w:r>
            <w:rPr>
              <w:rFonts w:hint="eastAsia"/>
            </w:rPr>
            <w:t>第二章 投标人须知资料表</w:t>
          </w:r>
          <w:r>
            <w:tab/>
          </w:r>
          <w:r>
            <w:fldChar w:fldCharType="begin"/>
          </w:r>
          <w:r>
            <w:instrText xml:space="preserve"> PAGEREF _Toc4129 \h </w:instrText>
          </w:r>
          <w:r>
            <w:fldChar w:fldCharType="separate"/>
          </w:r>
          <w:r>
            <w:t>6</w:t>
          </w:r>
          <w:r>
            <w:fldChar w:fldCharType="end"/>
          </w:r>
          <w:r>
            <w:fldChar w:fldCharType="end"/>
          </w:r>
        </w:p>
        <w:p>
          <w:pPr>
            <w:pStyle w:val="16"/>
            <w:tabs>
              <w:tab w:val="right" w:leader="dot" w:pos="9040"/>
            </w:tabs>
          </w:pPr>
          <w:r>
            <w:fldChar w:fldCharType="begin"/>
          </w:r>
          <w:r>
            <w:instrText xml:space="preserve"> HYPERLINK \l "_Toc418" </w:instrText>
          </w:r>
          <w:r>
            <w:fldChar w:fldCharType="separate"/>
          </w:r>
          <w:r>
            <w:rPr>
              <w:rFonts w:hint="eastAsia" w:hAnsi="宋体"/>
              <w:szCs w:val="28"/>
            </w:rPr>
            <w:t>第三章 投标人须知</w:t>
          </w:r>
          <w:r>
            <w:tab/>
          </w:r>
          <w:r>
            <w:fldChar w:fldCharType="begin"/>
          </w:r>
          <w:r>
            <w:instrText xml:space="preserve"> PAGEREF _Toc418 \h </w:instrText>
          </w:r>
          <w:r>
            <w:fldChar w:fldCharType="separate"/>
          </w:r>
          <w:r>
            <w:t>9</w:t>
          </w:r>
          <w:r>
            <w:fldChar w:fldCharType="end"/>
          </w:r>
          <w:r>
            <w:fldChar w:fldCharType="end"/>
          </w:r>
        </w:p>
        <w:p>
          <w:pPr>
            <w:pStyle w:val="11"/>
            <w:tabs>
              <w:tab w:val="right" w:leader="dot" w:pos="9040"/>
            </w:tabs>
            <w:rPr>
              <w:i w:val="0"/>
              <w:iCs w:val="0"/>
            </w:rPr>
          </w:pPr>
          <w:r>
            <w:fldChar w:fldCharType="begin"/>
          </w:r>
          <w:r>
            <w:instrText xml:space="preserve"> HYPERLINK \l "_Toc10416" </w:instrText>
          </w:r>
          <w:r>
            <w:fldChar w:fldCharType="separate"/>
          </w:r>
          <w:r>
            <w:rPr>
              <w:i w:val="0"/>
              <w:iCs w:val="0"/>
              <w:szCs w:val="28"/>
            </w:rPr>
            <w:t>一 说明</w:t>
          </w:r>
          <w:r>
            <w:rPr>
              <w:i w:val="0"/>
              <w:iCs w:val="0"/>
            </w:rPr>
            <w:tab/>
          </w:r>
          <w:r>
            <w:rPr>
              <w:i w:val="0"/>
              <w:iCs w:val="0"/>
            </w:rPr>
            <w:fldChar w:fldCharType="begin"/>
          </w:r>
          <w:r>
            <w:rPr>
              <w:i w:val="0"/>
              <w:iCs w:val="0"/>
            </w:rPr>
            <w:instrText xml:space="preserve"> PAGEREF _Toc10416 \h </w:instrText>
          </w:r>
          <w:r>
            <w:rPr>
              <w:i w:val="0"/>
              <w:iCs w:val="0"/>
            </w:rPr>
            <w:fldChar w:fldCharType="separate"/>
          </w:r>
          <w:r>
            <w:rPr>
              <w:i w:val="0"/>
              <w:iCs w:val="0"/>
            </w:rPr>
            <w:t>9</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"_Toc6273" </w:instrText>
          </w:r>
          <w:r>
            <w:fldChar w:fldCharType="separate"/>
          </w:r>
          <w:r>
            <w:rPr>
              <w:i w:val="0"/>
              <w:iCs w:val="0"/>
            </w:rPr>
            <w:t>1.采购人、采购代理机构及合格的投标人</w:t>
          </w:r>
          <w:r>
            <w:rPr>
              <w:i w:val="0"/>
              <w:iCs w:val="0"/>
            </w:rPr>
            <w:tab/>
          </w:r>
          <w:r>
            <w:rPr>
              <w:i w:val="0"/>
              <w:iCs w:val="0"/>
            </w:rPr>
            <w:fldChar w:fldCharType="begin"/>
          </w:r>
          <w:r>
            <w:rPr>
              <w:i w:val="0"/>
              <w:iCs w:val="0"/>
            </w:rPr>
            <w:instrText xml:space="preserve"> PAGEREF _Toc6273 \h </w:instrText>
          </w:r>
          <w:r>
            <w:rPr>
              <w:i w:val="0"/>
              <w:iCs w:val="0"/>
            </w:rPr>
            <w:fldChar w:fldCharType="separate"/>
          </w:r>
          <w:r>
            <w:rPr>
              <w:i w:val="0"/>
              <w:iCs w:val="0"/>
            </w:rPr>
            <w:t>9</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"_Toc21266" </w:instrText>
          </w:r>
          <w:r>
            <w:fldChar w:fldCharType="separate"/>
          </w:r>
          <w:r>
            <w:rPr>
              <w:i w:val="0"/>
              <w:iCs w:val="0"/>
            </w:rPr>
            <w:t>2.资金来源</w:t>
          </w:r>
          <w:r>
            <w:rPr>
              <w:i w:val="0"/>
              <w:iCs w:val="0"/>
            </w:rPr>
            <w:tab/>
          </w:r>
          <w:r>
            <w:rPr>
              <w:i w:val="0"/>
              <w:iCs w:val="0"/>
            </w:rPr>
            <w:fldChar w:fldCharType="begin"/>
          </w:r>
          <w:r>
            <w:rPr>
              <w:i w:val="0"/>
              <w:iCs w:val="0"/>
            </w:rPr>
            <w:instrText xml:space="preserve"> PAGEREF _Toc21266 \h </w:instrText>
          </w:r>
          <w:r>
            <w:rPr>
              <w:i w:val="0"/>
              <w:iCs w:val="0"/>
            </w:rPr>
            <w:fldChar w:fldCharType="separate"/>
          </w:r>
          <w:r>
            <w:rPr>
              <w:i w:val="0"/>
              <w:iCs w:val="0"/>
            </w:rPr>
            <w:t>10</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"_Toc6787" </w:instrText>
          </w:r>
          <w:r>
            <w:fldChar w:fldCharType="separate"/>
          </w:r>
          <w:r>
            <w:rPr>
              <w:i w:val="0"/>
              <w:iCs w:val="0"/>
            </w:rPr>
            <w:t>3.投标费用</w:t>
          </w:r>
          <w:r>
            <w:rPr>
              <w:i w:val="0"/>
              <w:iCs w:val="0"/>
            </w:rPr>
            <w:tab/>
          </w:r>
          <w:r>
            <w:rPr>
              <w:i w:val="0"/>
              <w:iCs w:val="0"/>
            </w:rPr>
            <w:fldChar w:fldCharType="begin"/>
          </w:r>
          <w:r>
            <w:rPr>
              <w:i w:val="0"/>
              <w:iCs w:val="0"/>
            </w:rPr>
            <w:instrText xml:space="preserve"> PAGEREF _Toc6787 \h </w:instrText>
          </w:r>
          <w:r>
            <w:rPr>
              <w:i w:val="0"/>
              <w:iCs w:val="0"/>
            </w:rPr>
            <w:fldChar w:fldCharType="separate"/>
          </w:r>
          <w:r>
            <w:rPr>
              <w:i w:val="0"/>
              <w:iCs w:val="0"/>
            </w:rPr>
            <w:t>10</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"_Toc24368" </w:instrText>
          </w:r>
          <w:r>
            <w:fldChar w:fldCharType="separate"/>
          </w:r>
          <w:r>
            <w:rPr>
              <w:i w:val="0"/>
              <w:iCs w:val="0"/>
            </w:rPr>
            <w:t>二 招标文件</w:t>
          </w:r>
          <w:r>
            <w:rPr>
              <w:i w:val="0"/>
              <w:iCs w:val="0"/>
            </w:rPr>
            <w:tab/>
          </w:r>
          <w:r>
            <w:rPr>
              <w:i w:val="0"/>
              <w:iCs w:val="0"/>
            </w:rPr>
            <w:fldChar w:fldCharType="begin"/>
          </w:r>
          <w:r>
            <w:rPr>
              <w:i w:val="0"/>
              <w:iCs w:val="0"/>
            </w:rPr>
            <w:instrText xml:space="preserve"> PAGEREF _Toc24368 \h </w:instrText>
          </w:r>
          <w:r>
            <w:rPr>
              <w:i w:val="0"/>
              <w:iCs w:val="0"/>
            </w:rPr>
            <w:fldChar w:fldCharType="separate"/>
          </w:r>
          <w:r>
            <w:rPr>
              <w:i w:val="0"/>
              <w:iCs w:val="0"/>
            </w:rPr>
            <w:t>11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"_Toc32474" </w:instrText>
          </w:r>
          <w:r>
            <w:fldChar w:fldCharType="separate"/>
          </w:r>
          <w:r>
            <w:rPr>
              <w:i w:val="0"/>
              <w:iCs w:val="0"/>
            </w:rPr>
            <w:t>4.招标文件构成</w:t>
          </w:r>
          <w:r>
            <w:rPr>
              <w:i w:val="0"/>
              <w:iCs w:val="0"/>
            </w:rPr>
            <w:tab/>
          </w:r>
          <w:r>
            <w:rPr>
              <w:i w:val="0"/>
              <w:iCs w:val="0"/>
            </w:rPr>
            <w:fldChar w:fldCharType="begin"/>
          </w:r>
          <w:r>
            <w:rPr>
              <w:i w:val="0"/>
              <w:iCs w:val="0"/>
            </w:rPr>
            <w:instrText xml:space="preserve"> PAGEREF _Toc32474 \h </w:instrText>
          </w:r>
          <w:r>
            <w:rPr>
              <w:i w:val="0"/>
              <w:iCs w:val="0"/>
            </w:rPr>
            <w:fldChar w:fldCharType="separate"/>
          </w:r>
          <w:r>
            <w:rPr>
              <w:i w:val="0"/>
              <w:iCs w:val="0"/>
            </w:rPr>
            <w:t>11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"_Toc23228" </w:instrText>
          </w:r>
          <w:r>
            <w:fldChar w:fldCharType="separate"/>
          </w:r>
          <w:r>
            <w:rPr>
              <w:i w:val="0"/>
              <w:iCs w:val="0"/>
            </w:rPr>
            <w:t>5.招标文件的澄清</w:t>
          </w:r>
          <w:r>
            <w:rPr>
              <w:i w:val="0"/>
              <w:iCs w:val="0"/>
            </w:rPr>
            <w:tab/>
          </w:r>
          <w:r>
            <w:rPr>
              <w:i w:val="0"/>
              <w:iCs w:val="0"/>
            </w:rPr>
            <w:fldChar w:fldCharType="begin"/>
          </w:r>
          <w:r>
            <w:rPr>
              <w:i w:val="0"/>
              <w:iCs w:val="0"/>
            </w:rPr>
            <w:instrText xml:space="preserve"> PAGEREF _Toc23228 \h </w:instrText>
          </w:r>
          <w:r>
            <w:rPr>
              <w:i w:val="0"/>
              <w:iCs w:val="0"/>
            </w:rPr>
            <w:fldChar w:fldCharType="separate"/>
          </w:r>
          <w:r>
            <w:rPr>
              <w:i w:val="0"/>
              <w:iCs w:val="0"/>
            </w:rPr>
            <w:t>11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"_Toc19112" </w:instrText>
          </w:r>
          <w:r>
            <w:fldChar w:fldCharType="separate"/>
          </w:r>
          <w:r>
            <w:rPr>
              <w:i w:val="0"/>
              <w:iCs w:val="0"/>
            </w:rPr>
            <w:t>6.招标文件的修改</w:t>
          </w:r>
          <w:r>
            <w:rPr>
              <w:i w:val="0"/>
              <w:iCs w:val="0"/>
            </w:rPr>
            <w:tab/>
          </w:r>
          <w:r>
            <w:rPr>
              <w:i w:val="0"/>
              <w:iCs w:val="0"/>
            </w:rPr>
            <w:fldChar w:fldCharType="begin"/>
          </w:r>
          <w:r>
            <w:rPr>
              <w:i w:val="0"/>
              <w:iCs w:val="0"/>
            </w:rPr>
            <w:instrText xml:space="preserve"> PAGEREF _Toc19112 \h </w:instrText>
          </w:r>
          <w:r>
            <w:rPr>
              <w:i w:val="0"/>
              <w:iCs w:val="0"/>
            </w:rPr>
            <w:fldChar w:fldCharType="separate"/>
          </w:r>
          <w:r>
            <w:rPr>
              <w:i w:val="0"/>
              <w:iCs w:val="0"/>
            </w:rPr>
            <w:t>11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"_Toc5022" </w:instrText>
          </w:r>
          <w:r>
            <w:fldChar w:fldCharType="separate"/>
          </w:r>
          <w:r>
            <w:rPr>
              <w:i w:val="0"/>
              <w:iCs w:val="0"/>
            </w:rPr>
            <w:t>三 投标文件的编制</w:t>
          </w:r>
          <w:r>
            <w:rPr>
              <w:i w:val="0"/>
              <w:iCs w:val="0"/>
            </w:rPr>
            <w:tab/>
          </w:r>
          <w:r>
            <w:rPr>
              <w:i w:val="0"/>
              <w:iCs w:val="0"/>
            </w:rPr>
            <w:fldChar w:fldCharType="begin"/>
          </w:r>
          <w:r>
            <w:rPr>
              <w:i w:val="0"/>
              <w:iCs w:val="0"/>
            </w:rPr>
            <w:instrText xml:space="preserve"> PAGEREF _Toc5022 \h </w:instrText>
          </w:r>
          <w:r>
            <w:rPr>
              <w:i w:val="0"/>
              <w:iCs w:val="0"/>
            </w:rPr>
            <w:fldChar w:fldCharType="separate"/>
          </w:r>
          <w:r>
            <w:rPr>
              <w:i w:val="0"/>
              <w:iCs w:val="0"/>
            </w:rPr>
            <w:t>12</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"_Toc17469" </w:instrText>
          </w:r>
          <w:r>
            <w:fldChar w:fldCharType="separate"/>
          </w:r>
          <w:r>
            <w:rPr>
              <w:i w:val="0"/>
              <w:iCs w:val="0"/>
            </w:rPr>
            <w:t>7.投标文件编制的原则</w:t>
          </w:r>
          <w:r>
            <w:rPr>
              <w:i w:val="0"/>
              <w:iCs w:val="0"/>
            </w:rPr>
            <w:tab/>
          </w:r>
          <w:r>
            <w:rPr>
              <w:i w:val="0"/>
              <w:iCs w:val="0"/>
            </w:rPr>
            <w:fldChar w:fldCharType="begin"/>
          </w:r>
          <w:r>
            <w:rPr>
              <w:i w:val="0"/>
              <w:iCs w:val="0"/>
            </w:rPr>
            <w:instrText xml:space="preserve"> PAGEREF _Toc17469 \h </w:instrText>
          </w:r>
          <w:r>
            <w:rPr>
              <w:i w:val="0"/>
              <w:iCs w:val="0"/>
            </w:rPr>
            <w:fldChar w:fldCharType="separate"/>
          </w:r>
          <w:r>
            <w:rPr>
              <w:i w:val="0"/>
              <w:iCs w:val="0"/>
            </w:rPr>
            <w:t>12</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"_Toc20167" </w:instrText>
          </w:r>
          <w:r>
            <w:fldChar w:fldCharType="separate"/>
          </w:r>
          <w:r>
            <w:rPr>
              <w:i w:val="0"/>
              <w:iCs w:val="0"/>
            </w:rPr>
            <w:t>8.投标范围及投标文件中计量单位的使用</w:t>
          </w:r>
          <w:r>
            <w:rPr>
              <w:i w:val="0"/>
              <w:iCs w:val="0"/>
            </w:rPr>
            <w:tab/>
          </w:r>
          <w:r>
            <w:rPr>
              <w:i w:val="0"/>
              <w:iCs w:val="0"/>
            </w:rPr>
            <w:fldChar w:fldCharType="begin"/>
          </w:r>
          <w:r>
            <w:rPr>
              <w:i w:val="0"/>
              <w:iCs w:val="0"/>
            </w:rPr>
            <w:instrText xml:space="preserve"> PAGEREF _Toc20167 \h </w:instrText>
          </w:r>
          <w:r>
            <w:rPr>
              <w:i w:val="0"/>
              <w:iCs w:val="0"/>
            </w:rPr>
            <w:fldChar w:fldCharType="separate"/>
          </w:r>
          <w:r>
            <w:rPr>
              <w:i w:val="0"/>
              <w:iCs w:val="0"/>
            </w:rPr>
            <w:t>12</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"_Toc23844" </w:instrText>
          </w:r>
          <w:r>
            <w:fldChar w:fldCharType="separate"/>
          </w:r>
          <w:r>
            <w:rPr>
              <w:i w:val="0"/>
              <w:iCs w:val="0"/>
            </w:rPr>
            <w:t>9.投标文件构成</w:t>
          </w:r>
          <w:r>
            <w:rPr>
              <w:i w:val="0"/>
              <w:iCs w:val="0"/>
            </w:rPr>
            <w:tab/>
          </w:r>
          <w:r>
            <w:rPr>
              <w:i w:val="0"/>
              <w:iCs w:val="0"/>
            </w:rPr>
            <w:fldChar w:fldCharType="begin"/>
          </w:r>
          <w:r>
            <w:rPr>
              <w:i w:val="0"/>
              <w:iCs w:val="0"/>
            </w:rPr>
            <w:instrText xml:space="preserve"> PAGEREF _Toc23844 \h </w:instrText>
          </w:r>
          <w:r>
            <w:rPr>
              <w:i w:val="0"/>
              <w:iCs w:val="0"/>
            </w:rPr>
            <w:fldChar w:fldCharType="separate"/>
          </w:r>
          <w:r>
            <w:rPr>
              <w:i w:val="0"/>
              <w:iCs w:val="0"/>
            </w:rPr>
            <w:t>12</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"_Toc24206" </w:instrText>
          </w:r>
          <w:r>
            <w:fldChar w:fldCharType="separate"/>
          </w:r>
          <w:r>
            <w:rPr>
              <w:i w:val="0"/>
              <w:iCs w:val="0"/>
            </w:rPr>
            <w:t>10.投标文件格式</w:t>
          </w:r>
          <w:r>
            <w:rPr>
              <w:i w:val="0"/>
              <w:iCs w:val="0"/>
            </w:rPr>
            <w:tab/>
          </w:r>
          <w:r>
            <w:rPr>
              <w:i w:val="0"/>
              <w:iCs w:val="0"/>
            </w:rPr>
            <w:fldChar w:fldCharType="begin"/>
          </w:r>
          <w:r>
            <w:rPr>
              <w:i w:val="0"/>
              <w:iCs w:val="0"/>
            </w:rPr>
            <w:instrText xml:space="preserve"> PAGEREF _Toc24206 \h </w:instrText>
          </w:r>
          <w:r>
            <w:rPr>
              <w:i w:val="0"/>
              <w:iCs w:val="0"/>
            </w:rPr>
            <w:fldChar w:fldCharType="separate"/>
          </w:r>
          <w:r>
            <w:rPr>
              <w:i w:val="0"/>
              <w:iCs w:val="0"/>
            </w:rPr>
            <w:t>13</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"_Toc29057" </w:instrText>
          </w:r>
          <w:r>
            <w:fldChar w:fldCharType="separate"/>
          </w:r>
          <w:r>
            <w:rPr>
              <w:i w:val="0"/>
              <w:iCs w:val="0"/>
            </w:rPr>
            <w:t>11.投标报价</w:t>
          </w:r>
          <w:r>
            <w:rPr>
              <w:i w:val="0"/>
              <w:iCs w:val="0"/>
            </w:rPr>
            <w:tab/>
          </w:r>
          <w:r>
            <w:rPr>
              <w:i w:val="0"/>
              <w:iCs w:val="0"/>
            </w:rPr>
            <w:fldChar w:fldCharType="begin"/>
          </w:r>
          <w:r>
            <w:rPr>
              <w:i w:val="0"/>
              <w:iCs w:val="0"/>
            </w:rPr>
            <w:instrText xml:space="preserve"> PAGEREF _Toc29057 \h </w:instrText>
          </w:r>
          <w:r>
            <w:rPr>
              <w:i w:val="0"/>
              <w:iCs w:val="0"/>
            </w:rPr>
            <w:fldChar w:fldCharType="separate"/>
          </w:r>
          <w:r>
            <w:rPr>
              <w:i w:val="0"/>
              <w:iCs w:val="0"/>
            </w:rPr>
            <w:t>14</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"_Toc23811" </w:instrText>
          </w:r>
          <w:r>
            <w:fldChar w:fldCharType="separate"/>
          </w:r>
          <w:r>
            <w:rPr>
              <w:i w:val="0"/>
              <w:iCs w:val="0"/>
            </w:rPr>
            <w:t>12.投标保证金</w:t>
          </w:r>
          <w:r>
            <w:rPr>
              <w:i w:val="0"/>
              <w:iCs w:val="0"/>
            </w:rPr>
            <w:tab/>
          </w:r>
          <w:r>
            <w:rPr>
              <w:i w:val="0"/>
              <w:iCs w:val="0"/>
            </w:rPr>
            <w:fldChar w:fldCharType="begin"/>
          </w:r>
          <w:r>
            <w:rPr>
              <w:i w:val="0"/>
              <w:iCs w:val="0"/>
            </w:rPr>
            <w:instrText xml:space="preserve"> PAGEREF _Toc23811 \h </w:instrText>
          </w:r>
          <w:r>
            <w:rPr>
              <w:i w:val="0"/>
              <w:iCs w:val="0"/>
            </w:rPr>
            <w:fldChar w:fldCharType="separate"/>
          </w:r>
          <w:r>
            <w:rPr>
              <w:i w:val="0"/>
              <w:iCs w:val="0"/>
            </w:rPr>
            <w:t>14</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"_Toc12188" </w:instrText>
          </w:r>
          <w:r>
            <w:fldChar w:fldCharType="separate"/>
          </w:r>
          <w:r>
            <w:rPr>
              <w:i w:val="0"/>
              <w:iCs w:val="0"/>
            </w:rPr>
            <w:t>13.投标有效期</w:t>
          </w:r>
          <w:r>
            <w:rPr>
              <w:i w:val="0"/>
              <w:iCs w:val="0"/>
            </w:rPr>
            <w:tab/>
          </w:r>
          <w:r>
            <w:rPr>
              <w:i w:val="0"/>
              <w:iCs w:val="0"/>
            </w:rPr>
            <w:fldChar w:fldCharType="begin"/>
          </w:r>
          <w:r>
            <w:rPr>
              <w:i w:val="0"/>
              <w:iCs w:val="0"/>
            </w:rPr>
            <w:instrText xml:space="preserve"> PAGEREF _Toc12188 \h </w:instrText>
          </w:r>
          <w:r>
            <w:rPr>
              <w:i w:val="0"/>
              <w:iCs w:val="0"/>
            </w:rPr>
            <w:fldChar w:fldCharType="separate"/>
          </w:r>
          <w:r>
            <w:rPr>
              <w:i w:val="0"/>
              <w:iCs w:val="0"/>
            </w:rPr>
            <w:t>14</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"_Toc12770" </w:instrText>
          </w:r>
          <w:r>
            <w:fldChar w:fldCharType="separate"/>
          </w:r>
          <w:r>
            <w:rPr>
              <w:i w:val="0"/>
              <w:iCs w:val="0"/>
            </w:rPr>
            <w:t>14.投标文件的签署与规定</w:t>
          </w:r>
          <w:r>
            <w:rPr>
              <w:i w:val="0"/>
              <w:iCs w:val="0"/>
            </w:rPr>
            <w:tab/>
          </w:r>
          <w:r>
            <w:rPr>
              <w:i w:val="0"/>
              <w:iCs w:val="0"/>
            </w:rPr>
            <w:fldChar w:fldCharType="begin"/>
          </w:r>
          <w:r>
            <w:rPr>
              <w:i w:val="0"/>
              <w:iCs w:val="0"/>
            </w:rPr>
            <w:instrText xml:space="preserve"> PAGEREF _Toc12770 \h </w:instrText>
          </w:r>
          <w:r>
            <w:rPr>
              <w:i w:val="0"/>
              <w:iCs w:val="0"/>
            </w:rPr>
            <w:fldChar w:fldCharType="separate"/>
          </w:r>
          <w:r>
            <w:rPr>
              <w:i w:val="0"/>
              <w:iCs w:val="0"/>
            </w:rPr>
            <w:t>15</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"_Toc20621" </w:instrText>
          </w:r>
          <w:r>
            <w:fldChar w:fldCharType="separate"/>
          </w:r>
          <w:r>
            <w:rPr>
              <w:i w:val="0"/>
              <w:iCs w:val="0"/>
            </w:rPr>
            <w:t>四 投标文件的递交</w:t>
          </w:r>
          <w:r>
            <w:rPr>
              <w:i w:val="0"/>
              <w:iCs w:val="0"/>
            </w:rPr>
            <w:tab/>
          </w:r>
          <w:r>
            <w:rPr>
              <w:i w:val="0"/>
              <w:iCs w:val="0"/>
            </w:rPr>
            <w:fldChar w:fldCharType="begin"/>
          </w:r>
          <w:r>
            <w:rPr>
              <w:i w:val="0"/>
              <w:iCs w:val="0"/>
            </w:rPr>
            <w:instrText xml:space="preserve"> PAGEREF _Toc20621 \h </w:instrText>
          </w:r>
          <w:r>
            <w:rPr>
              <w:i w:val="0"/>
              <w:iCs w:val="0"/>
            </w:rPr>
            <w:fldChar w:fldCharType="separate"/>
          </w:r>
          <w:r>
            <w:rPr>
              <w:i w:val="0"/>
              <w:iCs w:val="0"/>
            </w:rPr>
            <w:t>15</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"_Toc2311" </w:instrText>
          </w:r>
          <w:r>
            <w:fldChar w:fldCharType="separate"/>
          </w:r>
          <w:r>
            <w:rPr>
              <w:i w:val="0"/>
              <w:iCs w:val="0"/>
            </w:rPr>
            <w:t>15.投标文件的装订及递交</w:t>
          </w:r>
          <w:r>
            <w:rPr>
              <w:i w:val="0"/>
              <w:iCs w:val="0"/>
            </w:rPr>
            <w:tab/>
          </w:r>
          <w:r>
            <w:rPr>
              <w:i w:val="0"/>
              <w:iCs w:val="0"/>
            </w:rPr>
            <w:fldChar w:fldCharType="begin"/>
          </w:r>
          <w:r>
            <w:rPr>
              <w:i w:val="0"/>
              <w:iCs w:val="0"/>
            </w:rPr>
            <w:instrText xml:space="preserve"> PAGEREF _Toc2311 \h </w:instrText>
          </w:r>
          <w:r>
            <w:rPr>
              <w:i w:val="0"/>
              <w:iCs w:val="0"/>
            </w:rPr>
            <w:fldChar w:fldCharType="separate"/>
          </w:r>
          <w:r>
            <w:rPr>
              <w:i w:val="0"/>
              <w:iCs w:val="0"/>
            </w:rPr>
            <w:t>15</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"_Toc21338" </w:instrText>
          </w:r>
          <w:r>
            <w:fldChar w:fldCharType="separate"/>
          </w:r>
          <w:r>
            <w:rPr>
              <w:i w:val="0"/>
              <w:iCs w:val="0"/>
            </w:rPr>
            <w:t>16.投标截止时间</w:t>
          </w:r>
          <w:r>
            <w:rPr>
              <w:i w:val="0"/>
              <w:iCs w:val="0"/>
            </w:rPr>
            <w:tab/>
          </w:r>
          <w:r>
            <w:rPr>
              <w:i w:val="0"/>
              <w:iCs w:val="0"/>
            </w:rPr>
            <w:fldChar w:fldCharType="begin"/>
          </w:r>
          <w:r>
            <w:rPr>
              <w:i w:val="0"/>
              <w:iCs w:val="0"/>
            </w:rPr>
            <w:instrText xml:space="preserve"> PAGEREF _Toc21338 \h </w:instrText>
          </w:r>
          <w:r>
            <w:rPr>
              <w:i w:val="0"/>
              <w:iCs w:val="0"/>
            </w:rPr>
            <w:fldChar w:fldCharType="separate"/>
          </w:r>
          <w:r>
            <w:rPr>
              <w:i w:val="0"/>
              <w:iCs w:val="0"/>
            </w:rPr>
            <w:t>16</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"_Toc17808" </w:instrText>
          </w:r>
          <w:r>
            <w:fldChar w:fldCharType="separate"/>
          </w:r>
          <w:r>
            <w:rPr>
              <w:i w:val="0"/>
              <w:iCs w:val="0"/>
            </w:rPr>
            <w:t>17.投标文件的补充、修改与撤回</w:t>
          </w:r>
          <w:r>
            <w:rPr>
              <w:i w:val="0"/>
              <w:iCs w:val="0"/>
            </w:rPr>
            <w:tab/>
          </w:r>
          <w:r>
            <w:rPr>
              <w:i w:val="0"/>
              <w:iCs w:val="0"/>
            </w:rPr>
            <w:fldChar w:fldCharType="begin"/>
          </w:r>
          <w:r>
            <w:rPr>
              <w:i w:val="0"/>
              <w:iCs w:val="0"/>
            </w:rPr>
            <w:instrText xml:space="preserve"> PAGEREF _Toc17808 \h </w:instrText>
          </w:r>
          <w:r>
            <w:rPr>
              <w:i w:val="0"/>
              <w:iCs w:val="0"/>
            </w:rPr>
            <w:fldChar w:fldCharType="separate"/>
          </w:r>
          <w:r>
            <w:rPr>
              <w:i w:val="0"/>
              <w:iCs w:val="0"/>
            </w:rPr>
            <w:t>16</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"_Toc13840" </w:instrText>
          </w:r>
          <w:r>
            <w:fldChar w:fldCharType="separate"/>
          </w:r>
          <w:r>
            <w:rPr>
              <w:i w:val="0"/>
              <w:iCs w:val="0"/>
            </w:rPr>
            <w:t>五 开标及评标</w:t>
          </w:r>
          <w:r>
            <w:rPr>
              <w:i w:val="0"/>
              <w:iCs w:val="0"/>
            </w:rPr>
            <w:tab/>
          </w:r>
          <w:r>
            <w:rPr>
              <w:i w:val="0"/>
              <w:iCs w:val="0"/>
            </w:rPr>
            <w:fldChar w:fldCharType="begin"/>
          </w:r>
          <w:r>
            <w:rPr>
              <w:i w:val="0"/>
              <w:iCs w:val="0"/>
            </w:rPr>
            <w:instrText xml:space="preserve"> PAGEREF _Toc13840 \h </w:instrText>
          </w:r>
          <w:r>
            <w:rPr>
              <w:i w:val="0"/>
              <w:iCs w:val="0"/>
            </w:rPr>
            <w:fldChar w:fldCharType="separate"/>
          </w:r>
          <w:r>
            <w:rPr>
              <w:i w:val="0"/>
              <w:iCs w:val="0"/>
            </w:rPr>
            <w:t>16</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"_Toc7960" </w:instrText>
          </w:r>
          <w:r>
            <w:fldChar w:fldCharType="separate"/>
          </w:r>
          <w:r>
            <w:rPr>
              <w:i w:val="0"/>
              <w:iCs w:val="0"/>
            </w:rPr>
            <w:t>18.开标</w:t>
          </w:r>
          <w:r>
            <w:rPr>
              <w:i w:val="0"/>
              <w:iCs w:val="0"/>
            </w:rPr>
            <w:tab/>
          </w:r>
          <w:r>
            <w:rPr>
              <w:i w:val="0"/>
              <w:iCs w:val="0"/>
            </w:rPr>
            <w:fldChar w:fldCharType="begin"/>
          </w:r>
          <w:r>
            <w:rPr>
              <w:i w:val="0"/>
              <w:iCs w:val="0"/>
            </w:rPr>
            <w:instrText xml:space="preserve"> PAGEREF _Toc7960 \h </w:instrText>
          </w:r>
          <w:r>
            <w:rPr>
              <w:i w:val="0"/>
              <w:iCs w:val="0"/>
            </w:rPr>
            <w:fldChar w:fldCharType="separate"/>
          </w:r>
          <w:r>
            <w:rPr>
              <w:i w:val="0"/>
              <w:iCs w:val="0"/>
            </w:rPr>
            <w:t>16</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"_Toc17565" </w:instrText>
          </w:r>
          <w:r>
            <w:fldChar w:fldCharType="separate"/>
          </w:r>
          <w:r>
            <w:rPr>
              <w:i w:val="0"/>
              <w:iCs w:val="0"/>
            </w:rPr>
            <w:t>19.评标委员会组建</w:t>
          </w:r>
          <w:r>
            <w:rPr>
              <w:i w:val="0"/>
              <w:iCs w:val="0"/>
            </w:rPr>
            <w:tab/>
          </w:r>
          <w:r>
            <w:rPr>
              <w:i w:val="0"/>
              <w:iCs w:val="0"/>
            </w:rPr>
            <w:fldChar w:fldCharType="begin"/>
          </w:r>
          <w:r>
            <w:rPr>
              <w:i w:val="0"/>
              <w:iCs w:val="0"/>
            </w:rPr>
            <w:instrText xml:space="preserve"> PAGEREF _Toc17565 \h </w:instrText>
          </w:r>
          <w:r>
            <w:rPr>
              <w:i w:val="0"/>
              <w:iCs w:val="0"/>
            </w:rPr>
            <w:fldChar w:fldCharType="separate"/>
          </w:r>
          <w:r>
            <w:rPr>
              <w:i w:val="0"/>
              <w:iCs w:val="0"/>
            </w:rPr>
            <w:t>16</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"_Toc16806" </w:instrText>
          </w:r>
          <w:r>
            <w:fldChar w:fldCharType="separate"/>
          </w:r>
          <w:r>
            <w:rPr>
              <w:i w:val="0"/>
              <w:iCs w:val="0"/>
            </w:rPr>
            <w:t>20.投标文件的审查</w:t>
          </w:r>
          <w:r>
            <w:rPr>
              <w:i w:val="0"/>
              <w:iCs w:val="0"/>
            </w:rPr>
            <w:tab/>
          </w:r>
          <w:r>
            <w:rPr>
              <w:i w:val="0"/>
              <w:iCs w:val="0"/>
            </w:rPr>
            <w:fldChar w:fldCharType="begin"/>
          </w:r>
          <w:r>
            <w:rPr>
              <w:i w:val="0"/>
              <w:iCs w:val="0"/>
            </w:rPr>
            <w:instrText xml:space="preserve"> PAGEREF _Toc16806 \h </w:instrText>
          </w:r>
          <w:r>
            <w:rPr>
              <w:i w:val="0"/>
              <w:iCs w:val="0"/>
            </w:rPr>
            <w:fldChar w:fldCharType="separate"/>
          </w:r>
          <w:r>
            <w:rPr>
              <w:i w:val="0"/>
              <w:iCs w:val="0"/>
            </w:rPr>
            <w:t>17</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"_Toc4978" </w:instrText>
          </w:r>
          <w:r>
            <w:fldChar w:fldCharType="separate"/>
          </w:r>
          <w:r>
            <w:rPr>
              <w:bCs/>
              <w:i w:val="0"/>
              <w:iCs w:val="0"/>
              <w:szCs w:val="24"/>
            </w:rPr>
            <w:t>21. 投标文件的澄清</w:t>
          </w:r>
          <w:r>
            <w:rPr>
              <w:i w:val="0"/>
              <w:iCs w:val="0"/>
            </w:rPr>
            <w:tab/>
          </w:r>
          <w:r>
            <w:rPr>
              <w:i w:val="0"/>
              <w:iCs w:val="0"/>
            </w:rPr>
            <w:fldChar w:fldCharType="begin"/>
          </w:r>
          <w:r>
            <w:rPr>
              <w:i w:val="0"/>
              <w:iCs w:val="0"/>
            </w:rPr>
            <w:instrText xml:space="preserve"> PAGEREF _Toc4978 \h </w:instrText>
          </w:r>
          <w:r>
            <w:rPr>
              <w:i w:val="0"/>
              <w:iCs w:val="0"/>
            </w:rPr>
            <w:fldChar w:fldCharType="separate"/>
          </w:r>
          <w:r>
            <w:rPr>
              <w:i w:val="0"/>
              <w:iCs w:val="0"/>
            </w:rPr>
            <w:t>18</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"_Toc20044" </w:instrText>
          </w:r>
          <w:r>
            <w:fldChar w:fldCharType="separate"/>
          </w:r>
          <w:r>
            <w:rPr>
              <w:i w:val="0"/>
              <w:iCs w:val="0"/>
            </w:rPr>
            <w:t>22. 评标</w:t>
          </w:r>
          <w:r>
            <w:rPr>
              <w:i w:val="0"/>
              <w:iCs w:val="0"/>
            </w:rPr>
            <w:tab/>
          </w:r>
          <w:r>
            <w:rPr>
              <w:i w:val="0"/>
              <w:iCs w:val="0"/>
            </w:rPr>
            <w:fldChar w:fldCharType="begin"/>
          </w:r>
          <w:r>
            <w:rPr>
              <w:i w:val="0"/>
              <w:iCs w:val="0"/>
            </w:rPr>
            <w:instrText xml:space="preserve"> PAGEREF _Toc20044 \h </w:instrText>
          </w:r>
          <w:r>
            <w:rPr>
              <w:i w:val="0"/>
              <w:iCs w:val="0"/>
            </w:rPr>
            <w:fldChar w:fldCharType="separate"/>
          </w:r>
          <w:r>
            <w:rPr>
              <w:i w:val="0"/>
              <w:iCs w:val="0"/>
            </w:rPr>
            <w:t>19</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"_Toc11315" </w:instrText>
          </w:r>
          <w:r>
            <w:fldChar w:fldCharType="separate"/>
          </w:r>
          <w:r>
            <w:rPr>
              <w:i w:val="0"/>
              <w:iCs w:val="0"/>
            </w:rPr>
            <w:t>23.评标过程及保密原则</w:t>
          </w:r>
          <w:r>
            <w:rPr>
              <w:i w:val="0"/>
              <w:iCs w:val="0"/>
            </w:rPr>
            <w:tab/>
          </w:r>
          <w:r>
            <w:rPr>
              <w:i w:val="0"/>
              <w:iCs w:val="0"/>
            </w:rPr>
            <w:fldChar w:fldCharType="begin"/>
          </w:r>
          <w:r>
            <w:rPr>
              <w:i w:val="0"/>
              <w:iCs w:val="0"/>
            </w:rPr>
            <w:instrText xml:space="preserve"> PAGEREF _Toc11315 \h </w:instrText>
          </w:r>
          <w:r>
            <w:rPr>
              <w:i w:val="0"/>
              <w:iCs w:val="0"/>
            </w:rPr>
            <w:fldChar w:fldCharType="separate"/>
          </w:r>
          <w:r>
            <w:rPr>
              <w:i w:val="0"/>
              <w:iCs w:val="0"/>
            </w:rPr>
            <w:t>19</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"_Toc18827" </w:instrText>
          </w:r>
          <w:r>
            <w:fldChar w:fldCharType="separate"/>
          </w:r>
          <w:r>
            <w:rPr>
              <w:i w:val="0"/>
              <w:iCs w:val="0"/>
            </w:rPr>
            <w:t>六 确定中标</w:t>
          </w:r>
          <w:r>
            <w:rPr>
              <w:i w:val="0"/>
              <w:iCs w:val="0"/>
            </w:rPr>
            <w:tab/>
          </w:r>
          <w:r>
            <w:rPr>
              <w:i w:val="0"/>
              <w:iCs w:val="0"/>
            </w:rPr>
            <w:fldChar w:fldCharType="begin"/>
          </w:r>
          <w:r>
            <w:rPr>
              <w:i w:val="0"/>
              <w:iCs w:val="0"/>
            </w:rPr>
            <w:instrText xml:space="preserve"> PAGEREF _Toc18827 \h </w:instrText>
          </w:r>
          <w:r>
            <w:rPr>
              <w:i w:val="0"/>
              <w:iCs w:val="0"/>
            </w:rPr>
            <w:fldChar w:fldCharType="separate"/>
          </w:r>
          <w:r>
            <w:rPr>
              <w:i w:val="0"/>
              <w:iCs w:val="0"/>
            </w:rPr>
            <w:t>20</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"_Toc25866" </w:instrText>
          </w:r>
          <w:r>
            <w:fldChar w:fldCharType="separate"/>
          </w:r>
          <w:r>
            <w:rPr>
              <w:i w:val="0"/>
              <w:iCs w:val="0"/>
            </w:rPr>
            <w:t>24.中标人的确定标准</w:t>
          </w:r>
          <w:r>
            <w:rPr>
              <w:i w:val="0"/>
              <w:iCs w:val="0"/>
            </w:rPr>
            <w:tab/>
          </w:r>
          <w:r>
            <w:rPr>
              <w:i w:val="0"/>
              <w:iCs w:val="0"/>
            </w:rPr>
            <w:fldChar w:fldCharType="begin"/>
          </w:r>
          <w:r>
            <w:rPr>
              <w:i w:val="0"/>
              <w:iCs w:val="0"/>
            </w:rPr>
            <w:instrText xml:space="preserve"> PAGEREF _Toc25866 \h </w:instrText>
          </w:r>
          <w:r>
            <w:rPr>
              <w:i w:val="0"/>
              <w:iCs w:val="0"/>
            </w:rPr>
            <w:fldChar w:fldCharType="separate"/>
          </w:r>
          <w:r>
            <w:rPr>
              <w:i w:val="0"/>
              <w:iCs w:val="0"/>
            </w:rPr>
            <w:t>20</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"_Toc11758" </w:instrText>
          </w:r>
          <w:r>
            <w:fldChar w:fldCharType="separate"/>
          </w:r>
          <w:r>
            <w:rPr>
              <w:i w:val="0"/>
              <w:iCs w:val="0"/>
            </w:rPr>
            <w:t>25.接受或拒绝任何投标的权利</w:t>
          </w:r>
          <w:r>
            <w:rPr>
              <w:i w:val="0"/>
              <w:iCs w:val="0"/>
            </w:rPr>
            <w:tab/>
          </w:r>
          <w:r>
            <w:rPr>
              <w:i w:val="0"/>
              <w:iCs w:val="0"/>
            </w:rPr>
            <w:fldChar w:fldCharType="begin"/>
          </w:r>
          <w:r>
            <w:rPr>
              <w:i w:val="0"/>
              <w:iCs w:val="0"/>
            </w:rPr>
            <w:instrText xml:space="preserve"> PAGEREF _Toc11758 \h </w:instrText>
          </w:r>
          <w:r>
            <w:rPr>
              <w:i w:val="0"/>
              <w:iCs w:val="0"/>
            </w:rPr>
            <w:fldChar w:fldCharType="separate"/>
          </w:r>
          <w:r>
            <w:rPr>
              <w:i w:val="0"/>
              <w:iCs w:val="0"/>
            </w:rPr>
            <w:t>20</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"_Toc24394" </w:instrText>
          </w:r>
          <w:r>
            <w:fldChar w:fldCharType="separate"/>
          </w:r>
          <w:r>
            <w:rPr>
              <w:i w:val="0"/>
              <w:iCs w:val="0"/>
            </w:rPr>
            <w:t>26.中标通知书和结果通知</w:t>
          </w:r>
          <w:r>
            <w:rPr>
              <w:i w:val="0"/>
              <w:iCs w:val="0"/>
            </w:rPr>
            <w:tab/>
          </w:r>
          <w:r>
            <w:rPr>
              <w:i w:val="0"/>
              <w:iCs w:val="0"/>
            </w:rPr>
            <w:fldChar w:fldCharType="begin"/>
          </w:r>
          <w:r>
            <w:rPr>
              <w:i w:val="0"/>
              <w:iCs w:val="0"/>
            </w:rPr>
            <w:instrText xml:space="preserve"> PAGEREF _Toc24394 \h </w:instrText>
          </w:r>
          <w:r>
            <w:rPr>
              <w:i w:val="0"/>
              <w:iCs w:val="0"/>
            </w:rPr>
            <w:fldChar w:fldCharType="separate"/>
          </w:r>
          <w:r>
            <w:rPr>
              <w:i w:val="0"/>
              <w:iCs w:val="0"/>
            </w:rPr>
            <w:t>20</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"_Toc19591" </w:instrText>
          </w:r>
          <w:r>
            <w:fldChar w:fldCharType="separate"/>
          </w:r>
          <w:r>
            <w:rPr>
              <w:i w:val="0"/>
              <w:iCs w:val="0"/>
            </w:rPr>
            <w:t>27. 签订合同</w:t>
          </w:r>
          <w:r>
            <w:rPr>
              <w:i w:val="0"/>
              <w:iCs w:val="0"/>
            </w:rPr>
            <w:tab/>
          </w:r>
          <w:r>
            <w:rPr>
              <w:i w:val="0"/>
              <w:iCs w:val="0"/>
            </w:rPr>
            <w:fldChar w:fldCharType="begin"/>
          </w:r>
          <w:r>
            <w:rPr>
              <w:i w:val="0"/>
              <w:iCs w:val="0"/>
            </w:rPr>
            <w:instrText xml:space="preserve"> PAGEREF _Toc19591 \h </w:instrText>
          </w:r>
          <w:r>
            <w:rPr>
              <w:i w:val="0"/>
              <w:iCs w:val="0"/>
            </w:rPr>
            <w:fldChar w:fldCharType="separate"/>
          </w:r>
          <w:r>
            <w:rPr>
              <w:i w:val="0"/>
              <w:iCs w:val="0"/>
            </w:rPr>
            <w:t>20</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"_Toc20625" </w:instrText>
          </w:r>
          <w:r>
            <w:fldChar w:fldCharType="separate"/>
          </w:r>
          <w:r>
            <w:rPr>
              <w:i w:val="0"/>
              <w:iCs w:val="0"/>
            </w:rPr>
            <w:t>28.履约保证金</w:t>
          </w:r>
          <w:r>
            <w:rPr>
              <w:i w:val="0"/>
              <w:iCs w:val="0"/>
            </w:rPr>
            <w:tab/>
          </w:r>
          <w:r>
            <w:rPr>
              <w:i w:val="0"/>
              <w:iCs w:val="0"/>
            </w:rPr>
            <w:fldChar w:fldCharType="begin"/>
          </w:r>
          <w:r>
            <w:rPr>
              <w:i w:val="0"/>
              <w:iCs w:val="0"/>
            </w:rPr>
            <w:instrText xml:space="preserve"> PAGEREF _Toc20625 \h </w:instrText>
          </w:r>
          <w:r>
            <w:rPr>
              <w:i w:val="0"/>
              <w:iCs w:val="0"/>
            </w:rPr>
            <w:fldChar w:fldCharType="separate"/>
          </w:r>
          <w:r>
            <w:rPr>
              <w:i w:val="0"/>
              <w:iCs w:val="0"/>
            </w:rPr>
            <w:t>21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"_Toc12837" </w:instrText>
          </w:r>
          <w:r>
            <w:fldChar w:fldCharType="separate"/>
          </w:r>
          <w:r>
            <w:rPr>
              <w:i w:val="0"/>
              <w:iCs w:val="0"/>
            </w:rPr>
            <w:t>七 中标服务费</w:t>
          </w:r>
          <w:r>
            <w:rPr>
              <w:i w:val="0"/>
              <w:iCs w:val="0"/>
            </w:rPr>
            <w:tab/>
          </w:r>
          <w:r>
            <w:rPr>
              <w:i w:val="0"/>
              <w:iCs w:val="0"/>
            </w:rPr>
            <w:fldChar w:fldCharType="begin"/>
          </w:r>
          <w:r>
            <w:rPr>
              <w:i w:val="0"/>
              <w:iCs w:val="0"/>
            </w:rPr>
            <w:instrText xml:space="preserve"> PAGEREF _Toc12837 \h </w:instrText>
          </w:r>
          <w:r>
            <w:rPr>
              <w:i w:val="0"/>
              <w:iCs w:val="0"/>
            </w:rPr>
            <w:fldChar w:fldCharType="separate"/>
          </w:r>
          <w:r>
            <w:rPr>
              <w:i w:val="0"/>
              <w:iCs w:val="0"/>
            </w:rPr>
            <w:t>21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"_Toc4484" </w:instrText>
          </w:r>
          <w:r>
            <w:fldChar w:fldCharType="separate"/>
          </w:r>
          <w:r>
            <w:rPr>
              <w:i w:val="0"/>
              <w:iCs w:val="0"/>
            </w:rPr>
            <w:t>29.中标服务费</w:t>
          </w:r>
          <w:r>
            <w:rPr>
              <w:i w:val="0"/>
              <w:iCs w:val="0"/>
            </w:rPr>
            <w:tab/>
          </w:r>
          <w:r>
            <w:rPr>
              <w:i w:val="0"/>
              <w:iCs w:val="0"/>
            </w:rPr>
            <w:fldChar w:fldCharType="begin"/>
          </w:r>
          <w:r>
            <w:rPr>
              <w:i w:val="0"/>
              <w:iCs w:val="0"/>
            </w:rPr>
            <w:instrText xml:space="preserve"> PAGEREF _Toc4484 \h </w:instrText>
          </w:r>
          <w:r>
            <w:rPr>
              <w:i w:val="0"/>
              <w:iCs w:val="0"/>
            </w:rPr>
            <w:fldChar w:fldCharType="separate"/>
          </w:r>
          <w:r>
            <w:rPr>
              <w:i w:val="0"/>
              <w:iCs w:val="0"/>
            </w:rPr>
            <w:t>21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"_Toc16261" </w:instrText>
          </w:r>
          <w:r>
            <w:fldChar w:fldCharType="separate"/>
          </w:r>
          <w:r>
            <w:rPr>
              <w:i w:val="0"/>
              <w:iCs w:val="0"/>
              <w:szCs w:val="24"/>
            </w:rPr>
            <w:t>八 履约验收</w:t>
          </w:r>
          <w:r>
            <w:rPr>
              <w:i w:val="0"/>
              <w:iCs w:val="0"/>
            </w:rPr>
            <w:tab/>
          </w:r>
          <w:r>
            <w:rPr>
              <w:i w:val="0"/>
              <w:iCs w:val="0"/>
            </w:rPr>
            <w:fldChar w:fldCharType="begin"/>
          </w:r>
          <w:r>
            <w:rPr>
              <w:i w:val="0"/>
              <w:iCs w:val="0"/>
            </w:rPr>
            <w:instrText xml:space="preserve"> PAGEREF _Toc16261 \h </w:instrText>
          </w:r>
          <w:r>
            <w:rPr>
              <w:i w:val="0"/>
              <w:iCs w:val="0"/>
            </w:rPr>
            <w:fldChar w:fldCharType="separate"/>
          </w:r>
          <w:r>
            <w:rPr>
              <w:i w:val="0"/>
              <w:iCs w:val="0"/>
            </w:rPr>
            <w:t>21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"_Toc2006" </w:instrText>
          </w:r>
          <w:r>
            <w:fldChar w:fldCharType="separate"/>
          </w:r>
          <w:r>
            <w:rPr>
              <w:i w:val="0"/>
              <w:iCs w:val="0"/>
            </w:rPr>
            <w:t>30.履约验收</w:t>
          </w:r>
          <w:r>
            <w:rPr>
              <w:i w:val="0"/>
              <w:iCs w:val="0"/>
            </w:rPr>
            <w:tab/>
          </w:r>
          <w:r>
            <w:rPr>
              <w:i w:val="0"/>
              <w:iCs w:val="0"/>
            </w:rPr>
            <w:fldChar w:fldCharType="begin"/>
          </w:r>
          <w:r>
            <w:rPr>
              <w:i w:val="0"/>
              <w:iCs w:val="0"/>
            </w:rPr>
            <w:instrText xml:space="preserve"> PAGEREF _Toc2006 \h </w:instrText>
          </w:r>
          <w:r>
            <w:rPr>
              <w:i w:val="0"/>
              <w:iCs w:val="0"/>
            </w:rPr>
            <w:fldChar w:fldCharType="separate"/>
          </w:r>
          <w:r>
            <w:rPr>
              <w:i w:val="0"/>
              <w:iCs w:val="0"/>
            </w:rPr>
            <w:t>21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"_Toc21457" </w:instrText>
          </w:r>
          <w:r>
            <w:fldChar w:fldCharType="separate"/>
          </w:r>
          <w:r>
            <w:rPr>
              <w:i w:val="0"/>
              <w:iCs w:val="0"/>
              <w:szCs w:val="24"/>
            </w:rPr>
            <w:t>九 询问与质疑</w:t>
          </w:r>
          <w:r>
            <w:rPr>
              <w:i w:val="0"/>
              <w:iCs w:val="0"/>
            </w:rPr>
            <w:tab/>
          </w:r>
          <w:r>
            <w:rPr>
              <w:i w:val="0"/>
              <w:iCs w:val="0"/>
            </w:rPr>
            <w:fldChar w:fldCharType="begin"/>
          </w:r>
          <w:r>
            <w:rPr>
              <w:i w:val="0"/>
              <w:iCs w:val="0"/>
            </w:rPr>
            <w:instrText xml:space="preserve"> PAGEREF _Toc21457 \h </w:instrText>
          </w:r>
          <w:r>
            <w:rPr>
              <w:i w:val="0"/>
              <w:iCs w:val="0"/>
            </w:rPr>
            <w:fldChar w:fldCharType="separate"/>
          </w:r>
          <w:r>
            <w:rPr>
              <w:i w:val="0"/>
              <w:iCs w:val="0"/>
            </w:rPr>
            <w:t>22</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"_Toc27977" </w:instrText>
          </w:r>
          <w:r>
            <w:fldChar w:fldCharType="separate"/>
          </w:r>
          <w:r>
            <w:rPr>
              <w:i w:val="0"/>
              <w:iCs w:val="0"/>
            </w:rPr>
            <w:t>31.询问</w:t>
          </w:r>
          <w:r>
            <w:rPr>
              <w:i w:val="0"/>
              <w:iCs w:val="0"/>
            </w:rPr>
            <w:tab/>
          </w:r>
          <w:r>
            <w:rPr>
              <w:i w:val="0"/>
              <w:iCs w:val="0"/>
            </w:rPr>
            <w:fldChar w:fldCharType="begin"/>
          </w:r>
          <w:r>
            <w:rPr>
              <w:i w:val="0"/>
              <w:iCs w:val="0"/>
            </w:rPr>
            <w:instrText xml:space="preserve"> PAGEREF _Toc27977 \h </w:instrText>
          </w:r>
          <w:r>
            <w:rPr>
              <w:i w:val="0"/>
              <w:iCs w:val="0"/>
            </w:rPr>
            <w:fldChar w:fldCharType="separate"/>
          </w:r>
          <w:r>
            <w:rPr>
              <w:i w:val="0"/>
              <w:iCs w:val="0"/>
            </w:rPr>
            <w:t>22</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"_Toc9240" </w:instrText>
          </w:r>
          <w:r>
            <w:fldChar w:fldCharType="separate"/>
          </w:r>
          <w:r>
            <w:rPr>
              <w:i w:val="0"/>
              <w:iCs w:val="0"/>
            </w:rPr>
            <w:t>32.质疑</w:t>
          </w:r>
          <w:r>
            <w:rPr>
              <w:i w:val="0"/>
              <w:iCs w:val="0"/>
            </w:rPr>
            <w:tab/>
          </w:r>
          <w:r>
            <w:rPr>
              <w:i w:val="0"/>
              <w:iCs w:val="0"/>
            </w:rPr>
            <w:fldChar w:fldCharType="begin"/>
          </w:r>
          <w:r>
            <w:rPr>
              <w:i w:val="0"/>
              <w:iCs w:val="0"/>
            </w:rPr>
            <w:instrText xml:space="preserve"> PAGEREF _Toc9240 \h </w:instrText>
          </w:r>
          <w:r>
            <w:rPr>
              <w:i w:val="0"/>
              <w:iCs w:val="0"/>
            </w:rPr>
            <w:fldChar w:fldCharType="separate"/>
          </w:r>
          <w:r>
            <w:rPr>
              <w:i w:val="0"/>
              <w:iCs w:val="0"/>
            </w:rPr>
            <w:t>22</w:t>
          </w:r>
          <w:r>
            <w:rPr>
              <w:i w:val="0"/>
              <w:iCs w:val="0"/>
            </w:rPr>
            <w:fldChar w:fldCharType="end"/>
          </w:r>
          <w:r>
            <w:rPr>
              <w:i w:val="0"/>
              <w:iCs w:val="0"/>
            </w:rPr>
            <w:fldChar w:fldCharType="end"/>
          </w:r>
        </w:p>
        <w:p>
          <w:pPr>
            <w:pStyle w:val="16"/>
            <w:tabs>
              <w:tab w:val="right" w:leader="dot" w:pos="9040"/>
            </w:tabs>
          </w:pPr>
          <w:r>
            <w:fldChar w:fldCharType="begin"/>
          </w:r>
          <w:r>
            <w:instrText xml:space="preserve"> HYPERLINK \l "_Toc17332" </w:instrText>
          </w:r>
          <w:r>
            <w:fldChar w:fldCharType="separate"/>
          </w:r>
          <w:r>
            <w:rPr>
              <w:rFonts w:hint="eastAsia"/>
            </w:rPr>
            <w:t>第四章 采购需求</w:t>
          </w:r>
          <w:r>
            <w:tab/>
          </w:r>
          <w:r>
            <w:fldChar w:fldCharType="begin"/>
          </w:r>
          <w:r>
            <w:instrText xml:space="preserve"> PAGEREF _Toc17332 \h </w:instrText>
          </w:r>
          <w:r>
            <w:fldChar w:fldCharType="separate"/>
          </w:r>
          <w:r>
            <w:t>24</w:t>
          </w:r>
          <w:r>
            <w:fldChar w:fldCharType="end"/>
          </w:r>
          <w:r>
            <w:fldChar w:fldCharType="end"/>
          </w:r>
        </w:p>
        <w:p>
          <w:pPr>
            <w:pStyle w:val="2"/>
            <w:tabs>
              <w:tab w:val="right" w:leader="dot" w:pos="9040"/>
            </w:tabs>
          </w:pPr>
          <w:r>
            <w:fldChar w:fldCharType="begin"/>
          </w:r>
          <w:r>
            <w:instrText xml:space="preserve"> HYPERLINK \l "_Toc28598" </w:instrText>
          </w:r>
          <w:r>
            <w:fldChar w:fldCharType="separate"/>
          </w:r>
          <w:r>
            <w:rPr>
              <w:rFonts w:hint="eastAsia"/>
              <w:bCs/>
            </w:rPr>
            <w:t>（一）服务要求</w:t>
          </w:r>
          <w:r>
            <w:tab/>
          </w:r>
          <w:r>
            <w:fldChar w:fldCharType="begin"/>
          </w:r>
          <w:r>
            <w:instrText xml:space="preserve"> PAGEREF _Toc28598 \h </w:instrText>
          </w:r>
          <w:r>
            <w:fldChar w:fldCharType="separate"/>
          </w:r>
          <w:r>
            <w:t>24</w:t>
          </w:r>
          <w:r>
            <w:fldChar w:fldCharType="end"/>
          </w:r>
          <w:r>
            <w:fldChar w:fldCharType="end"/>
          </w:r>
        </w:p>
        <w:p>
          <w:pPr>
            <w:pStyle w:val="2"/>
            <w:tabs>
              <w:tab w:val="right" w:leader="dot" w:pos="9040"/>
            </w:tabs>
          </w:pPr>
          <w:r>
            <w:fldChar w:fldCharType="begin"/>
          </w:r>
          <w:r>
            <w:instrText xml:space="preserve"> HYPERLINK \l "_Toc1633" </w:instrText>
          </w:r>
          <w:r>
            <w:fldChar w:fldCharType="separate"/>
          </w:r>
          <w:r>
            <w:rPr>
              <w:rFonts w:hint="eastAsia"/>
              <w:bCs/>
            </w:rPr>
            <w:t>（二） 所属行业</w:t>
          </w:r>
          <w:r>
            <w:tab/>
          </w:r>
          <w:r>
            <w:fldChar w:fldCharType="begin"/>
          </w:r>
          <w:r>
            <w:instrText xml:space="preserve"> PAGEREF _Toc1633 \h </w:instrText>
          </w:r>
          <w:r>
            <w:fldChar w:fldCharType="separate"/>
          </w:r>
          <w:r>
            <w:t>24</w:t>
          </w:r>
          <w:r>
            <w:fldChar w:fldCharType="end"/>
          </w:r>
          <w:r>
            <w:fldChar w:fldCharType="end"/>
          </w:r>
        </w:p>
        <w:p>
          <w:pPr>
            <w:pStyle w:val="2"/>
            <w:tabs>
              <w:tab w:val="right" w:leader="dot" w:pos="9040"/>
            </w:tabs>
          </w:pPr>
          <w:r>
            <w:fldChar w:fldCharType="begin"/>
          </w:r>
          <w:r>
            <w:instrText xml:space="preserve"> HYPERLINK \l "_Toc189" </w:instrText>
          </w:r>
          <w:r>
            <w:fldChar w:fldCharType="separate"/>
          </w:r>
          <w:r>
            <w:rPr>
              <w:rFonts w:hint="eastAsia"/>
              <w:bCs/>
            </w:rPr>
            <w:t>（三）主要构成</w:t>
          </w:r>
          <w:r>
            <w:tab/>
          </w:r>
          <w:r>
            <w:fldChar w:fldCharType="begin"/>
          </w:r>
          <w:r>
            <w:instrText xml:space="preserve"> PAGEREF _Toc189 \h </w:instrText>
          </w:r>
          <w:r>
            <w:fldChar w:fldCharType="separate"/>
          </w:r>
          <w:r>
            <w:t>24</w:t>
          </w:r>
          <w:r>
            <w:fldChar w:fldCharType="end"/>
          </w:r>
          <w:r>
            <w:fldChar w:fldCharType="end"/>
          </w:r>
        </w:p>
        <w:p>
          <w:pPr>
            <w:pStyle w:val="2"/>
            <w:tabs>
              <w:tab w:val="right" w:leader="dot" w:pos="9040"/>
            </w:tabs>
          </w:pPr>
          <w:r>
            <w:fldChar w:fldCharType="begin"/>
          </w:r>
          <w:r>
            <w:instrText xml:space="preserve"> HYPERLINK \l "_Toc27457" </w:instrText>
          </w:r>
          <w:r>
            <w:fldChar w:fldCharType="separate"/>
          </w:r>
          <w:r>
            <w:rPr>
              <w:rFonts w:hint="eastAsia"/>
            </w:rPr>
            <w:t>（四）其他内容</w:t>
          </w:r>
          <w:r>
            <w:tab/>
          </w:r>
          <w:r>
            <w:fldChar w:fldCharType="begin"/>
          </w:r>
          <w:r>
            <w:instrText xml:space="preserve"> PAGEREF _Toc27457 \h </w:instrText>
          </w:r>
          <w:r>
            <w:fldChar w:fldCharType="separate"/>
          </w:r>
          <w:r>
            <w:t>25</w:t>
          </w:r>
          <w:r>
            <w:fldChar w:fldCharType="end"/>
          </w:r>
          <w:r>
            <w:fldChar w:fldCharType="end"/>
          </w:r>
        </w:p>
        <w:p>
          <w:pPr>
            <w:pStyle w:val="2"/>
            <w:tabs>
              <w:tab w:val="right" w:leader="dot" w:pos="9040"/>
            </w:tabs>
          </w:pPr>
          <w:r>
            <w:fldChar w:fldCharType="begin"/>
          </w:r>
          <w:r>
            <w:instrText xml:space="preserve"> HYPERLINK \l "_Toc8412" </w:instrText>
          </w:r>
          <w:r>
            <w:fldChar w:fldCharType="separate"/>
          </w:r>
          <w:r>
            <w:rPr>
              <w:rFonts w:hint="eastAsia"/>
            </w:rPr>
            <w:t>（四）参数及功能要求</w:t>
          </w:r>
          <w:r>
            <w:tab/>
          </w:r>
          <w:r>
            <w:fldChar w:fldCharType="begin"/>
          </w:r>
          <w:r>
            <w:instrText xml:space="preserve"> PAGEREF _Toc8412 \h </w:instrText>
          </w:r>
          <w:r>
            <w:fldChar w:fldCharType="separate"/>
          </w:r>
          <w:r>
            <w:t>25</w:t>
          </w:r>
          <w:r>
            <w:fldChar w:fldCharType="end"/>
          </w:r>
          <w:r>
            <w:fldChar w:fldCharType="end"/>
          </w:r>
        </w:p>
        <w:p>
          <w:pPr>
            <w:pStyle w:val="16"/>
            <w:tabs>
              <w:tab w:val="right" w:leader="dot" w:pos="9040"/>
            </w:tabs>
          </w:pPr>
          <w:r>
            <w:fldChar w:fldCharType="begin"/>
          </w:r>
          <w:r>
            <w:instrText xml:space="preserve"> HYPERLINK \l "_Toc23234" </w:instrText>
          </w:r>
          <w:r>
            <w:fldChar w:fldCharType="separate"/>
          </w:r>
          <w:r>
            <w:rPr>
              <w:rFonts w:hint="eastAsia"/>
            </w:rPr>
            <w:t>第五章 评标方法和评标标准</w:t>
          </w:r>
          <w:r>
            <w:tab/>
          </w:r>
          <w:r>
            <w:fldChar w:fldCharType="begin"/>
          </w:r>
          <w:r>
            <w:instrText xml:space="preserve"> PAGEREF _Toc23234 \h </w:instrText>
          </w:r>
          <w:r>
            <w:fldChar w:fldCharType="separate"/>
          </w:r>
          <w:r>
            <w:t>41</w:t>
          </w:r>
          <w:r>
            <w:fldChar w:fldCharType="end"/>
          </w:r>
          <w:r>
            <w:fldChar w:fldCharType="end"/>
          </w:r>
        </w:p>
        <w:p>
          <w:pPr>
            <w:pStyle w:val="2"/>
            <w:tabs>
              <w:tab w:val="right" w:leader="dot" w:pos="9040"/>
            </w:tabs>
          </w:pPr>
          <w:r>
            <w:fldChar w:fldCharType="begin"/>
          </w:r>
          <w:r>
            <w:instrText xml:space="preserve"> HYPERLINK \l "_Toc11872" </w:instrText>
          </w:r>
          <w:r>
            <w:fldChar w:fldCharType="separate"/>
          </w:r>
          <w:r>
            <w:rPr>
              <w:rFonts w:hint="eastAsia"/>
            </w:rPr>
            <w:t>一、投标文件资格册审查</w:t>
          </w:r>
          <w:r>
            <w:tab/>
          </w:r>
          <w:r>
            <w:fldChar w:fldCharType="begin"/>
          </w:r>
          <w:r>
            <w:instrText xml:space="preserve"> PAGEREF _Toc11872 \h </w:instrText>
          </w:r>
          <w:r>
            <w:fldChar w:fldCharType="separate"/>
          </w:r>
          <w:r>
            <w:t>41</w:t>
          </w:r>
          <w:r>
            <w:fldChar w:fldCharType="end"/>
          </w:r>
          <w:r>
            <w:fldChar w:fldCharType="end"/>
          </w:r>
        </w:p>
        <w:p>
          <w:pPr>
            <w:pStyle w:val="2"/>
            <w:tabs>
              <w:tab w:val="right" w:leader="dot" w:pos="9040"/>
            </w:tabs>
          </w:pPr>
          <w:r>
            <w:fldChar w:fldCharType="begin"/>
          </w:r>
          <w:r>
            <w:instrText xml:space="preserve"> HYPERLINK \l "_Toc15177" </w:instrText>
          </w:r>
          <w:r>
            <w:fldChar w:fldCharType="separate"/>
          </w:r>
          <w:r>
            <w:rPr>
              <w:rFonts w:hint="eastAsia"/>
            </w:rPr>
            <w:t>二、投标文件商务技术册审查</w:t>
          </w:r>
          <w:r>
            <w:tab/>
          </w:r>
          <w:r>
            <w:fldChar w:fldCharType="begin"/>
          </w:r>
          <w:r>
            <w:instrText xml:space="preserve"> PAGEREF _Toc15177 \h </w:instrText>
          </w:r>
          <w:r>
            <w:fldChar w:fldCharType="separate"/>
          </w:r>
          <w:r>
            <w:t>45</w:t>
          </w:r>
          <w:r>
            <w:fldChar w:fldCharType="end"/>
          </w:r>
          <w:r>
            <w:fldChar w:fldCharType="end"/>
          </w:r>
        </w:p>
        <w:p>
          <w:pPr>
            <w:pStyle w:val="2"/>
            <w:tabs>
              <w:tab w:val="right" w:leader="dot" w:pos="9040"/>
            </w:tabs>
          </w:pPr>
          <w:r>
            <w:fldChar w:fldCharType="begin"/>
          </w:r>
          <w:r>
            <w:instrText xml:space="preserve"> HYPERLINK \l "_Toc6709" </w:instrText>
          </w:r>
          <w:r>
            <w:fldChar w:fldCharType="separate"/>
          </w:r>
          <w:r>
            <w:rPr>
              <w:rFonts w:hint="eastAsia"/>
            </w:rPr>
            <w:t>三、评标办法</w:t>
          </w:r>
          <w:r>
            <w:tab/>
          </w:r>
          <w:r>
            <w:fldChar w:fldCharType="begin"/>
          </w:r>
          <w:r>
            <w:instrText xml:space="preserve"> PAGEREF _Toc6709 \h </w:instrText>
          </w:r>
          <w:r>
            <w:fldChar w:fldCharType="separate"/>
          </w:r>
          <w:r>
            <w:t>46</w:t>
          </w:r>
          <w:r>
            <w:fldChar w:fldCharType="end"/>
          </w:r>
          <w:r>
            <w:fldChar w:fldCharType="end"/>
          </w:r>
        </w:p>
        <w:p>
          <w:pPr>
            <w:pStyle w:val="16"/>
            <w:tabs>
              <w:tab w:val="right" w:leader="dot" w:pos="9040"/>
            </w:tabs>
          </w:pPr>
          <w:r>
            <w:fldChar w:fldCharType="begin"/>
          </w:r>
          <w:r>
            <w:instrText xml:space="preserve"> HYPERLINK \l "_Toc21926" </w:instrText>
          </w:r>
          <w:r>
            <w:fldChar w:fldCharType="separate"/>
          </w:r>
          <w:r>
            <w:rPr>
              <w:rFonts w:hint="eastAsia"/>
            </w:rPr>
            <w:t>第六章  合同格式</w:t>
          </w:r>
          <w:r>
            <w:tab/>
          </w:r>
          <w:r>
            <w:fldChar w:fldCharType="begin"/>
          </w:r>
          <w:r>
            <w:instrText xml:space="preserve"> PAGEREF _Toc21926 \h </w:instrText>
          </w:r>
          <w:r>
            <w:fldChar w:fldCharType="separate"/>
          </w:r>
          <w:r>
            <w:t>49</w:t>
          </w:r>
          <w:r>
            <w:fldChar w:fldCharType="end"/>
          </w:r>
          <w:r>
            <w:fldChar w:fldCharType="end"/>
          </w:r>
        </w:p>
        <w:p>
          <w:pPr>
            <w:pStyle w:val="16"/>
            <w:tabs>
              <w:tab w:val="right" w:leader="dot" w:pos="9040"/>
            </w:tabs>
          </w:pPr>
          <w:r>
            <w:fldChar w:fldCharType="begin"/>
          </w:r>
          <w:r>
            <w:instrText xml:space="preserve"> HYPERLINK \l "_Toc7969" </w:instrText>
          </w:r>
          <w:r>
            <w:fldChar w:fldCharType="separate"/>
          </w:r>
          <w:r>
            <w:rPr>
              <w:rFonts w:hint="eastAsia"/>
            </w:rPr>
            <w:t>第七章 投标文件格式</w:t>
          </w:r>
          <w:r>
            <w:tab/>
          </w:r>
          <w:r>
            <w:fldChar w:fldCharType="begin"/>
          </w:r>
          <w:r>
            <w:instrText xml:space="preserve"> PAGEREF _Toc7969 \h </w:instrText>
          </w:r>
          <w:r>
            <w:fldChar w:fldCharType="separate"/>
          </w:r>
          <w:r>
            <w:t>60</w:t>
          </w:r>
          <w:r>
            <w:fldChar w:fldCharType="end"/>
          </w:r>
          <w:r>
            <w:fldChar w:fldCharType="end"/>
          </w:r>
        </w:p>
        <w:p>
          <w:pPr>
            <w:pStyle w:val="2"/>
            <w:tabs>
              <w:tab w:val="right" w:leader="dot" w:pos="9040"/>
            </w:tabs>
          </w:pPr>
          <w:r>
            <w:fldChar w:fldCharType="begin"/>
          </w:r>
          <w:r>
            <w:instrText xml:space="preserve"> HYPERLINK \l "_Toc507" </w:instrText>
          </w:r>
          <w:r>
            <w:fldChar w:fldCharType="separate"/>
          </w:r>
          <w:r>
            <w:rPr>
              <w:rFonts w:hint="eastAsia"/>
            </w:rPr>
            <w:t>一、投标文件资格册</w:t>
          </w:r>
          <w:r>
            <w:tab/>
          </w:r>
          <w:r>
            <w:fldChar w:fldCharType="begin"/>
          </w:r>
          <w:r>
            <w:instrText xml:space="preserve"> PAGEREF _Toc507 \h </w:instrText>
          </w:r>
          <w:r>
            <w:fldChar w:fldCharType="separate"/>
          </w:r>
          <w:r>
            <w:t>60</w:t>
          </w:r>
          <w:r>
            <w:fldChar w:fldCharType="end"/>
          </w:r>
          <w:r>
            <w:fldChar w:fldCharType="end"/>
          </w:r>
        </w:p>
        <w:p>
          <w:pPr>
            <w:pStyle w:val="2"/>
            <w:tabs>
              <w:tab w:val="right" w:leader="dot" w:pos="9040"/>
            </w:tabs>
          </w:pPr>
          <w:r>
            <w:fldChar w:fldCharType="begin"/>
          </w:r>
          <w:r>
            <w:instrText xml:space="preserve"> HYPERLINK \l "_Toc17281" </w:instrText>
          </w:r>
          <w:r>
            <w:fldChar w:fldCharType="separate"/>
          </w:r>
          <w:r>
            <w:rPr>
              <w:rFonts w:hint="eastAsia"/>
            </w:rPr>
            <w:t>二、投标文件商务技术册</w:t>
          </w:r>
          <w:r>
            <w:tab/>
          </w:r>
          <w:r>
            <w:fldChar w:fldCharType="begin"/>
          </w:r>
          <w:r>
            <w:instrText xml:space="preserve"> PAGEREF _Toc17281 \h </w:instrText>
          </w:r>
          <w:r>
            <w:fldChar w:fldCharType="separate"/>
          </w:r>
          <w:r>
            <w:t>64</w:t>
          </w:r>
          <w:r>
            <w:fldChar w:fldCharType="end"/>
          </w:r>
          <w:r>
            <w:fldChar w:fldCharType="end"/>
          </w:r>
        </w:p>
        <w:p>
          <w:pPr>
            <w:pStyle w:val="11"/>
            <w:tabs>
              <w:tab w:val="right" w:leader="dot" w:pos="9040"/>
            </w:tabs>
            <w:rPr>
              <w:i w:val="0"/>
              <w:iCs w:val="0"/>
            </w:rPr>
          </w:pPr>
          <w:r>
            <w:fldChar w:fldCharType="begin"/>
          </w:r>
          <w:r>
            <w:instrText xml:space="preserve"> HYPERLINK \l "_Toc2273" </w:instrText>
          </w:r>
          <w:r>
            <w:fldChar w:fldCharType="separate"/>
          </w:r>
          <w:r>
            <w:rPr>
              <w:i w:val="0"/>
              <w:iCs w:val="0"/>
            </w:rPr>
            <w:t>1 投标函</w:t>
          </w:r>
          <w:r>
            <w:rPr>
              <w:i w:val="0"/>
              <w:iCs w:val="0"/>
            </w:rPr>
            <w:tab/>
          </w:r>
          <w:r>
            <w:rPr>
              <w:i w:val="0"/>
              <w:iCs w:val="0"/>
            </w:rPr>
            <w:fldChar w:fldCharType="begin"/>
          </w:r>
          <w:r>
            <w:rPr>
              <w:i w:val="0"/>
              <w:iCs w:val="0"/>
            </w:rPr>
            <w:instrText xml:space="preserve"> PAGEREF _Toc2273 \h </w:instrText>
          </w:r>
          <w:r>
            <w:rPr>
              <w:i w:val="0"/>
              <w:iCs w:val="0"/>
            </w:rPr>
            <w:fldChar w:fldCharType="separate"/>
          </w:r>
          <w:r>
            <w:rPr>
              <w:i w:val="0"/>
              <w:iCs w:val="0"/>
            </w:rPr>
            <w:t>64</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"_Toc599" </w:instrText>
          </w:r>
          <w:r>
            <w:fldChar w:fldCharType="separate"/>
          </w:r>
          <w:r>
            <w:rPr>
              <w:i w:val="0"/>
              <w:iCs w:val="0"/>
            </w:rPr>
            <w:t>2 开标一览表</w:t>
          </w:r>
          <w:r>
            <w:rPr>
              <w:i w:val="0"/>
              <w:iCs w:val="0"/>
            </w:rPr>
            <w:tab/>
          </w:r>
          <w:r>
            <w:rPr>
              <w:i w:val="0"/>
              <w:iCs w:val="0"/>
            </w:rPr>
            <w:fldChar w:fldCharType="begin"/>
          </w:r>
          <w:r>
            <w:rPr>
              <w:i w:val="0"/>
              <w:iCs w:val="0"/>
            </w:rPr>
            <w:instrText xml:space="preserve"> PAGEREF _Toc599 \h </w:instrText>
          </w:r>
          <w:r>
            <w:rPr>
              <w:i w:val="0"/>
              <w:iCs w:val="0"/>
            </w:rPr>
            <w:fldChar w:fldCharType="separate"/>
          </w:r>
          <w:r>
            <w:rPr>
              <w:i w:val="0"/>
              <w:iCs w:val="0"/>
            </w:rPr>
            <w:t>66</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"_Toc17121" </w:instrText>
          </w:r>
          <w:r>
            <w:fldChar w:fldCharType="separate"/>
          </w:r>
          <w:r>
            <w:rPr>
              <w:i w:val="0"/>
              <w:iCs w:val="0"/>
            </w:rPr>
            <w:t>3 投标分项报价表</w:t>
          </w:r>
          <w:r>
            <w:rPr>
              <w:i w:val="0"/>
              <w:iCs w:val="0"/>
            </w:rPr>
            <w:tab/>
          </w:r>
          <w:r>
            <w:rPr>
              <w:i w:val="0"/>
              <w:iCs w:val="0"/>
            </w:rPr>
            <w:fldChar w:fldCharType="begin"/>
          </w:r>
          <w:r>
            <w:rPr>
              <w:i w:val="0"/>
              <w:iCs w:val="0"/>
            </w:rPr>
            <w:instrText xml:space="preserve"> PAGEREF _Toc17121 \h </w:instrText>
          </w:r>
          <w:r>
            <w:rPr>
              <w:i w:val="0"/>
              <w:iCs w:val="0"/>
            </w:rPr>
            <w:fldChar w:fldCharType="separate"/>
          </w:r>
          <w:r>
            <w:rPr>
              <w:i w:val="0"/>
              <w:iCs w:val="0"/>
            </w:rPr>
            <w:t>67</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"_Toc7535" </w:instrText>
          </w:r>
          <w:r>
            <w:fldChar w:fldCharType="separate"/>
          </w:r>
          <w:r>
            <w:rPr>
              <w:i w:val="0"/>
              <w:iCs w:val="0"/>
            </w:rPr>
            <w:t>4 技术规格偏离表</w:t>
          </w:r>
          <w:r>
            <w:rPr>
              <w:i w:val="0"/>
              <w:iCs w:val="0"/>
            </w:rPr>
            <w:tab/>
          </w:r>
          <w:r>
            <w:rPr>
              <w:i w:val="0"/>
              <w:iCs w:val="0"/>
            </w:rPr>
            <w:fldChar w:fldCharType="begin"/>
          </w:r>
          <w:r>
            <w:rPr>
              <w:i w:val="0"/>
              <w:iCs w:val="0"/>
            </w:rPr>
            <w:instrText xml:space="preserve"> PAGEREF _Toc7535 \h </w:instrText>
          </w:r>
          <w:r>
            <w:rPr>
              <w:i w:val="0"/>
              <w:iCs w:val="0"/>
            </w:rPr>
            <w:fldChar w:fldCharType="separate"/>
          </w:r>
          <w:r>
            <w:rPr>
              <w:i w:val="0"/>
              <w:iCs w:val="0"/>
            </w:rPr>
            <w:t>68</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"_Toc4210" </w:instrText>
          </w:r>
          <w:r>
            <w:fldChar w:fldCharType="separate"/>
          </w:r>
          <w:r>
            <w:rPr>
              <w:i w:val="0"/>
              <w:iCs w:val="0"/>
            </w:rPr>
            <w:t>5 商务条款偏离表</w:t>
          </w:r>
          <w:r>
            <w:rPr>
              <w:i w:val="0"/>
              <w:iCs w:val="0"/>
            </w:rPr>
            <w:tab/>
          </w:r>
          <w:r>
            <w:rPr>
              <w:i w:val="0"/>
              <w:iCs w:val="0"/>
            </w:rPr>
            <w:fldChar w:fldCharType="begin"/>
          </w:r>
          <w:r>
            <w:rPr>
              <w:i w:val="0"/>
              <w:iCs w:val="0"/>
            </w:rPr>
            <w:instrText xml:space="preserve"> PAGEREF _Toc4210 \h </w:instrText>
          </w:r>
          <w:r>
            <w:rPr>
              <w:i w:val="0"/>
              <w:iCs w:val="0"/>
            </w:rPr>
            <w:fldChar w:fldCharType="separate"/>
          </w:r>
          <w:r>
            <w:rPr>
              <w:i w:val="0"/>
              <w:iCs w:val="0"/>
            </w:rPr>
            <w:t>69</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"_Toc27093" </w:instrText>
          </w:r>
          <w:r>
            <w:fldChar w:fldCharType="separate"/>
          </w:r>
          <w:r>
            <w:rPr>
              <w:i w:val="0"/>
              <w:iCs w:val="0"/>
            </w:rPr>
            <w:t>6 业绩案例一览表</w:t>
          </w:r>
          <w:r>
            <w:rPr>
              <w:i w:val="0"/>
              <w:iCs w:val="0"/>
            </w:rPr>
            <w:tab/>
          </w:r>
          <w:r>
            <w:rPr>
              <w:i w:val="0"/>
              <w:iCs w:val="0"/>
            </w:rPr>
            <w:fldChar w:fldCharType="begin"/>
          </w:r>
          <w:r>
            <w:rPr>
              <w:i w:val="0"/>
              <w:iCs w:val="0"/>
            </w:rPr>
            <w:instrText xml:space="preserve"> PAGEREF _Toc27093 \h </w:instrText>
          </w:r>
          <w:r>
            <w:rPr>
              <w:i w:val="0"/>
              <w:iCs w:val="0"/>
            </w:rPr>
            <w:fldChar w:fldCharType="separate"/>
          </w:r>
          <w:r>
            <w:rPr>
              <w:i w:val="0"/>
              <w:iCs w:val="0"/>
            </w:rPr>
            <w:t>70</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"_Toc22294" </w:instrText>
          </w:r>
          <w:r>
            <w:fldChar w:fldCharType="separate"/>
          </w:r>
          <w:r>
            <w:rPr>
              <w:i w:val="0"/>
              <w:iCs w:val="0"/>
            </w:rPr>
            <w:t>7 投标人基本情况表</w:t>
          </w:r>
          <w:r>
            <w:rPr>
              <w:i w:val="0"/>
              <w:iCs w:val="0"/>
            </w:rPr>
            <w:tab/>
          </w:r>
          <w:r>
            <w:rPr>
              <w:i w:val="0"/>
              <w:iCs w:val="0"/>
            </w:rPr>
            <w:fldChar w:fldCharType="begin"/>
          </w:r>
          <w:r>
            <w:rPr>
              <w:i w:val="0"/>
              <w:iCs w:val="0"/>
            </w:rPr>
            <w:instrText xml:space="preserve"> PAGEREF _Toc22294 \h </w:instrText>
          </w:r>
          <w:r>
            <w:rPr>
              <w:i w:val="0"/>
              <w:iCs w:val="0"/>
            </w:rPr>
            <w:fldChar w:fldCharType="separate"/>
          </w:r>
          <w:r>
            <w:rPr>
              <w:i w:val="0"/>
              <w:iCs w:val="0"/>
            </w:rPr>
            <w:t>71</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"_Toc12549" </w:instrText>
          </w:r>
          <w:r>
            <w:fldChar w:fldCharType="separate"/>
          </w:r>
          <w:r>
            <w:rPr>
              <w:i w:val="0"/>
              <w:iCs w:val="0"/>
            </w:rPr>
            <w:t>8 技术方案</w:t>
          </w:r>
          <w:r>
            <w:rPr>
              <w:i w:val="0"/>
              <w:iCs w:val="0"/>
            </w:rPr>
            <w:tab/>
          </w:r>
          <w:r>
            <w:rPr>
              <w:i w:val="0"/>
              <w:iCs w:val="0"/>
            </w:rPr>
            <w:fldChar w:fldCharType="begin"/>
          </w:r>
          <w:r>
            <w:rPr>
              <w:i w:val="0"/>
              <w:iCs w:val="0"/>
            </w:rPr>
            <w:instrText xml:space="preserve"> PAGEREF _Toc12549 \h </w:instrText>
          </w:r>
          <w:r>
            <w:rPr>
              <w:i w:val="0"/>
              <w:iCs w:val="0"/>
            </w:rPr>
            <w:fldChar w:fldCharType="separate"/>
          </w:r>
          <w:r>
            <w:rPr>
              <w:i w:val="0"/>
              <w:iCs w:val="0"/>
            </w:rPr>
            <w:t>73</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"_Toc21592" </w:instrText>
          </w:r>
          <w:r>
            <w:fldChar w:fldCharType="separate"/>
          </w:r>
          <w:r>
            <w:rPr>
              <w:i w:val="0"/>
              <w:iCs w:val="0"/>
            </w:rPr>
            <w:t>9 售后服务及培训计划</w:t>
          </w:r>
          <w:r>
            <w:rPr>
              <w:i w:val="0"/>
              <w:iCs w:val="0"/>
            </w:rPr>
            <w:tab/>
          </w:r>
          <w:r>
            <w:rPr>
              <w:i w:val="0"/>
              <w:iCs w:val="0"/>
            </w:rPr>
            <w:fldChar w:fldCharType="begin"/>
          </w:r>
          <w:r>
            <w:rPr>
              <w:i w:val="0"/>
              <w:iCs w:val="0"/>
            </w:rPr>
            <w:instrText xml:space="preserve"> PAGEREF _Toc21592 \h </w:instrText>
          </w:r>
          <w:r>
            <w:rPr>
              <w:i w:val="0"/>
              <w:iCs w:val="0"/>
            </w:rPr>
            <w:fldChar w:fldCharType="separate"/>
          </w:r>
          <w:r>
            <w:rPr>
              <w:i w:val="0"/>
              <w:iCs w:val="0"/>
            </w:rPr>
            <w:t>74</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"_Toc21613" </w:instrText>
          </w:r>
          <w:r>
            <w:fldChar w:fldCharType="separate"/>
          </w:r>
          <w:r>
            <w:rPr>
              <w:rFonts w:hint="eastAsia" w:hAnsi="宋体"/>
              <w:i w:val="0"/>
              <w:iCs w:val="0"/>
            </w:rPr>
            <w:t>10 提交投标保证金的证明材料</w:t>
          </w:r>
          <w:r>
            <w:rPr>
              <w:i w:val="0"/>
              <w:iCs w:val="0"/>
            </w:rPr>
            <w:tab/>
          </w:r>
          <w:r>
            <w:rPr>
              <w:i w:val="0"/>
              <w:iCs w:val="0"/>
            </w:rPr>
            <w:fldChar w:fldCharType="begin"/>
          </w:r>
          <w:r>
            <w:rPr>
              <w:i w:val="0"/>
              <w:iCs w:val="0"/>
            </w:rPr>
            <w:instrText xml:space="preserve"> PAGEREF _Toc21613 \h </w:instrText>
          </w:r>
          <w:r>
            <w:rPr>
              <w:i w:val="0"/>
              <w:iCs w:val="0"/>
            </w:rPr>
            <w:fldChar w:fldCharType="separate"/>
          </w:r>
          <w:r>
            <w:rPr>
              <w:i w:val="0"/>
              <w:iCs w:val="0"/>
            </w:rPr>
            <w:t>75</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"_Toc23987" </w:instrText>
          </w:r>
          <w:r>
            <w:fldChar w:fldCharType="separate"/>
          </w:r>
          <w:r>
            <w:rPr>
              <w:i w:val="0"/>
              <w:iCs w:val="0"/>
            </w:rPr>
            <w:t>11 中标服务费承诺书</w:t>
          </w:r>
          <w:r>
            <w:rPr>
              <w:i w:val="0"/>
              <w:iCs w:val="0"/>
            </w:rPr>
            <w:tab/>
          </w:r>
          <w:r>
            <w:rPr>
              <w:i w:val="0"/>
              <w:iCs w:val="0"/>
            </w:rPr>
            <w:fldChar w:fldCharType="begin"/>
          </w:r>
          <w:r>
            <w:rPr>
              <w:i w:val="0"/>
              <w:iCs w:val="0"/>
            </w:rPr>
            <w:instrText xml:space="preserve"> PAGEREF _Toc23987 \h </w:instrText>
          </w:r>
          <w:r>
            <w:rPr>
              <w:i w:val="0"/>
              <w:iCs w:val="0"/>
            </w:rPr>
            <w:fldChar w:fldCharType="separate"/>
          </w:r>
          <w:r>
            <w:rPr>
              <w:i w:val="0"/>
              <w:iCs w:val="0"/>
            </w:rPr>
            <w:t>76</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"_Toc3649" </w:instrText>
          </w:r>
          <w:r>
            <w:fldChar w:fldCharType="separate"/>
          </w:r>
          <w:r>
            <w:rPr>
              <w:i w:val="0"/>
              <w:iCs w:val="0"/>
            </w:rPr>
            <w:t>12 中小企业声明函（货物）</w:t>
          </w:r>
          <w:r>
            <w:rPr>
              <w:i w:val="0"/>
              <w:iCs w:val="0"/>
            </w:rPr>
            <w:tab/>
          </w:r>
          <w:r>
            <w:rPr>
              <w:i w:val="0"/>
              <w:iCs w:val="0"/>
            </w:rPr>
            <w:fldChar w:fldCharType="begin"/>
          </w:r>
          <w:r>
            <w:rPr>
              <w:i w:val="0"/>
              <w:iCs w:val="0"/>
            </w:rPr>
            <w:instrText xml:space="preserve"> PAGEREF _Toc3649 \h </w:instrText>
          </w:r>
          <w:r>
            <w:rPr>
              <w:i w:val="0"/>
              <w:iCs w:val="0"/>
            </w:rPr>
            <w:fldChar w:fldCharType="separate"/>
          </w:r>
          <w:r>
            <w:rPr>
              <w:i w:val="0"/>
              <w:iCs w:val="0"/>
            </w:rPr>
            <w:t>77</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"_Toc7335" </w:instrText>
          </w:r>
          <w:r>
            <w:fldChar w:fldCharType="separate"/>
          </w:r>
          <w:r>
            <w:rPr>
              <w:i w:val="0"/>
              <w:iCs w:val="0"/>
            </w:rPr>
            <w:t>13 残疾人福利性单位声明函（如适用）</w:t>
          </w:r>
          <w:r>
            <w:rPr>
              <w:i w:val="0"/>
              <w:iCs w:val="0"/>
            </w:rPr>
            <w:tab/>
          </w:r>
          <w:r>
            <w:rPr>
              <w:i w:val="0"/>
              <w:iCs w:val="0"/>
            </w:rPr>
            <w:fldChar w:fldCharType="begin"/>
          </w:r>
          <w:r>
            <w:rPr>
              <w:i w:val="0"/>
              <w:iCs w:val="0"/>
            </w:rPr>
            <w:instrText xml:space="preserve"> PAGEREF _Toc7335 \h </w:instrText>
          </w:r>
          <w:r>
            <w:rPr>
              <w:i w:val="0"/>
              <w:iCs w:val="0"/>
            </w:rPr>
            <w:fldChar w:fldCharType="separate"/>
          </w:r>
          <w:r>
            <w:rPr>
              <w:i w:val="0"/>
              <w:iCs w:val="0"/>
            </w:rPr>
            <w:t>78</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"_Toc16819" </w:instrText>
          </w:r>
          <w:r>
            <w:fldChar w:fldCharType="separate"/>
          </w:r>
          <w:r>
            <w:rPr>
              <w:i w:val="0"/>
              <w:iCs w:val="0"/>
            </w:rPr>
            <w:t>14 监狱、戒毒企业声明函（如适用）</w:t>
          </w:r>
          <w:r>
            <w:rPr>
              <w:i w:val="0"/>
              <w:iCs w:val="0"/>
            </w:rPr>
            <w:tab/>
          </w:r>
          <w:r>
            <w:rPr>
              <w:i w:val="0"/>
              <w:iCs w:val="0"/>
            </w:rPr>
            <w:fldChar w:fldCharType="begin"/>
          </w:r>
          <w:r>
            <w:rPr>
              <w:i w:val="0"/>
              <w:iCs w:val="0"/>
            </w:rPr>
            <w:instrText xml:space="preserve"> PAGEREF _Toc16819 \h </w:instrText>
          </w:r>
          <w:r>
            <w:rPr>
              <w:i w:val="0"/>
              <w:iCs w:val="0"/>
            </w:rPr>
            <w:fldChar w:fldCharType="separate"/>
          </w:r>
          <w:r>
            <w:rPr>
              <w:i w:val="0"/>
              <w:iCs w:val="0"/>
            </w:rPr>
            <w:t>79</w:t>
          </w:r>
          <w:r>
            <w:rPr>
              <w:i w:val="0"/>
              <w:iCs w:val="0"/>
            </w:rPr>
            <w:fldChar w:fldCharType="end"/>
          </w:r>
          <w:r>
            <w:rPr>
              <w:i w:val="0"/>
              <w:iCs w:val="0"/>
            </w:rPr>
            <w:fldChar w:fldCharType="end"/>
          </w:r>
        </w:p>
        <w:p>
          <w:pPr>
            <w:pStyle w:val="11"/>
            <w:tabs>
              <w:tab w:val="right" w:leader="dot" w:pos="9040"/>
            </w:tabs>
            <w:rPr>
              <w:i w:val="0"/>
              <w:iCs w:val="0"/>
            </w:rPr>
          </w:pPr>
          <w:r>
            <w:fldChar w:fldCharType="begin"/>
          </w:r>
          <w:r>
            <w:instrText xml:space="preserve"> HYPERLINK \l "_Toc4234" </w:instrText>
          </w:r>
          <w:r>
            <w:fldChar w:fldCharType="separate"/>
          </w:r>
          <w:r>
            <w:rPr>
              <w:i w:val="0"/>
              <w:iCs w:val="0"/>
            </w:rPr>
            <w:t>15 投标人认为必要的其他证明文件</w:t>
          </w:r>
          <w:r>
            <w:rPr>
              <w:i w:val="0"/>
              <w:iCs w:val="0"/>
            </w:rPr>
            <w:tab/>
          </w:r>
          <w:r>
            <w:rPr>
              <w:i w:val="0"/>
              <w:iCs w:val="0"/>
            </w:rPr>
            <w:fldChar w:fldCharType="begin"/>
          </w:r>
          <w:r>
            <w:rPr>
              <w:i w:val="0"/>
              <w:iCs w:val="0"/>
            </w:rPr>
            <w:instrText xml:space="preserve"> PAGEREF _Toc4234 \h </w:instrText>
          </w:r>
          <w:r>
            <w:rPr>
              <w:i w:val="0"/>
              <w:iCs w:val="0"/>
            </w:rPr>
            <w:fldChar w:fldCharType="separate"/>
          </w:r>
          <w:r>
            <w:rPr>
              <w:i w:val="0"/>
              <w:iCs w:val="0"/>
            </w:rPr>
            <w:t>80</w:t>
          </w:r>
          <w:r>
            <w:rPr>
              <w:i w:val="0"/>
              <w:iCs w:val="0"/>
            </w:rPr>
            <w:fldChar w:fldCharType="end"/>
          </w:r>
          <w:r>
            <w:rPr>
              <w:i w:val="0"/>
              <w:iCs w:val="0"/>
            </w:rPr>
            <w:fldChar w:fldCharType="end"/>
          </w:r>
        </w:p>
        <w:p>
          <w:r>
            <w:fldChar w:fldCharType="end"/>
          </w:r>
        </w:p>
      </w:sdtContent>
    </w:sdt>
    <w:p>
      <w:pPr>
        <w:pStyle w:val="16"/>
        <w:spacing w:before="0" w:line="360" w:lineRule="auto"/>
        <w:outlineLvl w:val="0"/>
        <w:rPr>
          <w:sz w:val="36"/>
          <w:szCs w:val="36"/>
        </w:rPr>
      </w:pPr>
    </w:p>
    <w:p>
      <w:pPr>
        <w:pStyle w:val="19"/>
        <w:ind w:left="0" w:leftChars="0" w:firstLine="0" w:firstLineChars="0"/>
        <w:rPr>
          <w:lang w:val="en-US"/>
        </w:rPr>
      </w:pPr>
    </w:p>
    <w:p>
      <w:pPr>
        <w:rPr>
          <w:rFonts w:hAnsi="宋体"/>
          <w:szCs w:val="28"/>
        </w:rPr>
      </w:pPr>
      <w:bookmarkStart w:id="0" w:name="_Toc288581295"/>
      <w:bookmarkStart w:id="1" w:name="_Toc5895164"/>
      <w:bookmarkStart w:id="2" w:name="_Toc310195690"/>
      <w:bookmarkStart w:id="3" w:name="_Toc40110889"/>
      <w:r>
        <w:rPr>
          <w:rFonts w:hint="eastAsia" w:hAnsi="宋体"/>
          <w:szCs w:val="28"/>
        </w:rPr>
        <w:br w:type="page"/>
      </w:r>
    </w:p>
    <w:p>
      <w:pPr>
        <w:pStyle w:val="3"/>
        <w:numPr>
          <w:ilvl w:val="0"/>
          <w:numId w:val="1"/>
        </w:numPr>
        <w:spacing w:before="0" w:after="0" w:line="240" w:lineRule="auto"/>
        <w:rPr>
          <w:rFonts w:hAnsi="宋体"/>
          <w:szCs w:val="28"/>
        </w:rPr>
      </w:pPr>
      <w:r>
        <w:rPr>
          <w:rFonts w:hint="eastAsia" w:hAnsi="宋体"/>
          <w:szCs w:val="28"/>
          <w:lang w:val="en-US"/>
        </w:rPr>
        <w:t xml:space="preserve"> </w:t>
      </w:r>
      <w:bookmarkStart w:id="4" w:name="_Toc20691"/>
      <w:bookmarkStart w:id="5" w:name="_Toc29691"/>
      <w:r>
        <w:rPr>
          <w:rFonts w:hint="eastAsia" w:hAnsi="宋体"/>
          <w:szCs w:val="28"/>
        </w:rPr>
        <w:t>投标邀请</w:t>
      </w:r>
      <w:bookmarkEnd w:id="0"/>
      <w:bookmarkEnd w:id="1"/>
      <w:bookmarkEnd w:id="2"/>
      <w:bookmarkEnd w:id="3"/>
      <w:bookmarkEnd w:id="4"/>
      <w:bookmarkEnd w:id="5"/>
    </w:p>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6" w:name="_Toc310195691"/>
      <w:bookmarkStart w:id="7" w:name="_Toc5895165"/>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u w:val="single"/>
        </w:rPr>
        <w:t>(华北电力大学虚拟仿真教学实验中心硬件设备)</w:t>
      </w:r>
      <w:r>
        <w:rPr>
          <w:rFonts w:hint="eastAsia" w:ascii="宋体" w:hAnsi="宋体"/>
          <w:sz w:val="24"/>
        </w:rPr>
        <w:t xml:space="preserve"> 招标项目的潜在投标人应在</w:t>
      </w:r>
      <w:r>
        <w:rPr>
          <w:rFonts w:hint="eastAsia" w:ascii="宋体" w:hAnsi="宋体"/>
          <w:sz w:val="24"/>
          <w:u w:val="single"/>
        </w:rPr>
        <w:t>（北京市丰台区广安路9号国投财富广场6号楼1601室）</w:t>
      </w:r>
      <w:r>
        <w:rPr>
          <w:rFonts w:hint="eastAsia" w:ascii="宋体" w:hAnsi="宋体"/>
          <w:sz w:val="24"/>
        </w:rPr>
        <w:t>获取招标文件，并于</w:t>
      </w:r>
      <w:r>
        <w:rPr>
          <w:rFonts w:hint="eastAsia" w:ascii="宋体" w:hAnsi="宋体"/>
          <w:sz w:val="24"/>
          <w:u w:val="single"/>
        </w:rPr>
        <w:t>2022年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21</w:t>
      </w:r>
      <w:r>
        <w:rPr>
          <w:rFonts w:hint="eastAsia" w:ascii="宋体" w:hAnsi="宋体"/>
          <w:sz w:val="24"/>
          <w:u w:val="single"/>
        </w:rPr>
        <w:t>日下午13:30</w:t>
      </w:r>
      <w:r>
        <w:rPr>
          <w:rFonts w:hint="eastAsia" w:ascii="宋体" w:hAnsi="宋体"/>
          <w:bCs/>
          <w:sz w:val="24"/>
        </w:rPr>
        <w:t>（北京时间）前递交投标文件</w:t>
      </w:r>
      <w:r>
        <w:rPr>
          <w:rFonts w:hint="eastAsia" w:ascii="宋体" w:hAnsi="宋体"/>
          <w:sz w:val="24"/>
        </w:rPr>
        <w:t>。</w:t>
      </w:r>
    </w:p>
    <w:p>
      <w:bookmarkStart w:id="8" w:name="_Toc35393790"/>
      <w:bookmarkStart w:id="9" w:name="_Toc35393621"/>
      <w:bookmarkStart w:id="10" w:name="_Toc28359079"/>
      <w:bookmarkStart w:id="11" w:name="_Toc28359002"/>
      <w:bookmarkStart w:id="12" w:name="_Hlk24379207"/>
    </w:p>
    <w:p>
      <w:pPr>
        <w:spacing w:line="360" w:lineRule="auto"/>
        <w:rPr>
          <w:b/>
          <w:bCs/>
          <w:sz w:val="24"/>
          <w:szCs w:val="32"/>
        </w:rPr>
      </w:pPr>
      <w:bookmarkStart w:id="13" w:name="_Toc19734"/>
      <w:r>
        <w:rPr>
          <w:rFonts w:hint="eastAsia"/>
          <w:b/>
          <w:bCs/>
          <w:sz w:val="24"/>
          <w:szCs w:val="32"/>
        </w:rPr>
        <w:t>一、项目基本情况</w:t>
      </w:r>
      <w:bookmarkEnd w:id="8"/>
      <w:bookmarkEnd w:id="9"/>
      <w:bookmarkEnd w:id="10"/>
      <w:bookmarkEnd w:id="11"/>
      <w:bookmarkEnd w:id="13"/>
    </w:p>
    <w:p>
      <w:pPr>
        <w:spacing w:line="360" w:lineRule="auto"/>
        <w:rPr>
          <w:rFonts w:ascii="宋体" w:hAnsi="宋体"/>
          <w:sz w:val="24"/>
        </w:rPr>
      </w:pPr>
      <w:r>
        <w:rPr>
          <w:rFonts w:hint="eastAsia" w:ascii="宋体" w:hAnsi="宋体"/>
          <w:sz w:val="24"/>
        </w:rPr>
        <w:t xml:space="preserve">项目代理编号：HCZB-2022-ZB0592 </w:t>
      </w:r>
    </w:p>
    <w:p>
      <w:pPr>
        <w:spacing w:line="360" w:lineRule="auto"/>
        <w:rPr>
          <w:rFonts w:ascii="宋体" w:hAnsi="宋体"/>
          <w:sz w:val="24"/>
        </w:rPr>
      </w:pPr>
      <w:r>
        <w:rPr>
          <w:rFonts w:hint="eastAsia" w:ascii="宋体" w:hAnsi="宋体"/>
          <w:sz w:val="24"/>
        </w:rPr>
        <w:t>项目名称：</w:t>
      </w:r>
      <w:bookmarkEnd w:id="12"/>
      <w:r>
        <w:rPr>
          <w:rFonts w:hint="eastAsia" w:ascii="宋体" w:hAnsi="宋体"/>
          <w:sz w:val="24"/>
        </w:rPr>
        <w:t>华北电力大学虚拟仿真教学实验中心硬件设备</w:t>
      </w:r>
    </w:p>
    <w:p>
      <w:pPr>
        <w:spacing w:line="360" w:lineRule="auto"/>
        <w:rPr>
          <w:rFonts w:ascii="宋体" w:hAnsi="宋体"/>
          <w:sz w:val="24"/>
        </w:rPr>
      </w:pPr>
      <w:r>
        <w:rPr>
          <w:rFonts w:hint="eastAsia" w:ascii="宋体" w:hAnsi="宋体"/>
          <w:sz w:val="24"/>
        </w:rPr>
        <w:t>预算金额：58.72万元</w:t>
      </w:r>
    </w:p>
    <w:p>
      <w:pPr>
        <w:spacing w:line="360" w:lineRule="auto"/>
        <w:rPr>
          <w:rFonts w:ascii="宋体" w:hAnsi="宋体"/>
          <w:sz w:val="24"/>
          <w:u w:val="single"/>
        </w:rPr>
      </w:pPr>
      <w:r>
        <w:rPr>
          <w:rFonts w:hint="eastAsia" w:ascii="宋体" w:hAnsi="宋体"/>
          <w:sz w:val="24"/>
        </w:rPr>
        <w:t>采购需求：虚拟仿真教学实验中心硬件设备购置，具体内容详见第四章采购需求</w:t>
      </w:r>
    </w:p>
    <w:p>
      <w:pPr>
        <w:spacing w:line="360" w:lineRule="auto"/>
        <w:rPr>
          <w:rFonts w:ascii="宋体" w:hAnsi="宋体"/>
          <w:sz w:val="24"/>
          <w:u w:val="single"/>
        </w:rPr>
      </w:pPr>
      <w:r>
        <w:rPr>
          <w:rFonts w:hint="eastAsia" w:ascii="宋体" w:hAnsi="宋体"/>
          <w:sz w:val="24"/>
        </w:rPr>
        <w:t>合同履行期限：自合同签订生效后开始至双方合同完全履行后截止</w:t>
      </w:r>
    </w:p>
    <w:p>
      <w:pPr>
        <w:spacing w:line="360" w:lineRule="auto"/>
        <w:rPr>
          <w:rFonts w:ascii="宋体" w:hAnsi="宋体"/>
          <w:sz w:val="24"/>
        </w:rPr>
      </w:pPr>
      <w:r>
        <w:rPr>
          <w:rFonts w:hint="eastAsia" w:ascii="宋体" w:hAnsi="宋体"/>
          <w:sz w:val="24"/>
        </w:rPr>
        <w:t>本项目不接受联合体投标。</w:t>
      </w:r>
    </w:p>
    <w:p>
      <w:pPr>
        <w:spacing w:line="360" w:lineRule="auto"/>
        <w:rPr>
          <w:b/>
          <w:bCs/>
          <w:sz w:val="24"/>
          <w:szCs w:val="32"/>
        </w:rPr>
      </w:pPr>
      <w:bookmarkStart w:id="14" w:name="_Toc28359080"/>
      <w:bookmarkStart w:id="15" w:name="_Toc35393791"/>
      <w:bookmarkStart w:id="16" w:name="_Toc28359003"/>
      <w:bookmarkStart w:id="17" w:name="_Toc35393622"/>
      <w:bookmarkStart w:id="18" w:name="_Toc14517"/>
      <w:r>
        <w:rPr>
          <w:rFonts w:hint="eastAsia"/>
          <w:b/>
          <w:bCs/>
          <w:sz w:val="24"/>
          <w:szCs w:val="32"/>
        </w:rPr>
        <w:t>二、申请人的资格要求：</w:t>
      </w:r>
      <w:bookmarkEnd w:id="14"/>
      <w:bookmarkEnd w:id="15"/>
      <w:bookmarkEnd w:id="16"/>
      <w:bookmarkEnd w:id="17"/>
      <w:bookmarkEnd w:id="18"/>
    </w:p>
    <w:p>
      <w:pPr>
        <w:spacing w:line="360" w:lineRule="auto"/>
        <w:ind w:left="420" w:hanging="420" w:hangingChars="175"/>
        <w:rPr>
          <w:rFonts w:ascii="宋体" w:hAnsi="宋体"/>
          <w:sz w:val="24"/>
        </w:rPr>
      </w:pPr>
      <w:bookmarkStart w:id="19" w:name="_Toc28359081"/>
      <w:bookmarkStart w:id="20" w:name="_Toc28359004"/>
      <w:r>
        <w:rPr>
          <w:rFonts w:hint="eastAsia" w:ascii="宋体" w:hAnsi="宋体"/>
          <w:sz w:val="24"/>
        </w:rPr>
        <w:t>1.满足《中华人民共和国政府采购法》第二十二条规定：</w:t>
      </w:r>
    </w:p>
    <w:p>
      <w:pPr>
        <w:spacing w:line="360" w:lineRule="auto"/>
        <w:ind w:left="420" w:hanging="420" w:hangingChars="175"/>
        <w:rPr>
          <w:rFonts w:ascii="宋体" w:hAnsi="宋体"/>
          <w:sz w:val="24"/>
        </w:rPr>
      </w:pPr>
      <w:r>
        <w:rPr>
          <w:rFonts w:hint="eastAsia" w:ascii="宋体" w:hAnsi="宋体"/>
          <w:sz w:val="24"/>
        </w:rPr>
        <w:t>2.落实政府采购政策需满足的资格要求：</w:t>
      </w:r>
    </w:p>
    <w:p>
      <w:pPr>
        <w:pStyle w:val="19"/>
        <w:adjustRightInd w:val="0"/>
        <w:snapToGrid w:val="0"/>
        <w:spacing w:before="0" w:after="0" w:line="360" w:lineRule="auto"/>
        <w:ind w:left="0" w:leftChars="0" w:firstLine="0" w:firstLineChars="0"/>
        <w:jc w:val="left"/>
        <w:rPr>
          <w:rFonts w:ascii="宋体" w:hAnsi="宋体"/>
          <w:sz w:val="24"/>
          <w:szCs w:val="24"/>
          <w:lang w:val="en-US"/>
        </w:rPr>
      </w:pPr>
      <w:r>
        <w:rPr>
          <w:rFonts w:hint="eastAsia" w:ascii="宋体" w:hAnsi="宋体"/>
          <w:sz w:val="24"/>
          <w:szCs w:val="24"/>
          <w:lang w:val="en-US"/>
        </w:rPr>
        <w:t>本项目非专门面向中小型、微型企业（监狱、戒毒企业、残疾人福利性单位视同小微企业）采购。</w:t>
      </w:r>
    </w:p>
    <w:p>
      <w:pPr>
        <w:spacing w:line="360" w:lineRule="auto"/>
        <w:ind w:left="420" w:hanging="420" w:hangingChars="175"/>
        <w:rPr>
          <w:rFonts w:ascii="宋体" w:hAnsi="宋体"/>
          <w:sz w:val="24"/>
        </w:rPr>
      </w:pPr>
      <w:r>
        <w:rPr>
          <w:rFonts w:hint="eastAsia" w:ascii="宋体" w:hAnsi="宋体"/>
          <w:sz w:val="24"/>
        </w:rPr>
        <w:t>3.本项目的特定资格要求：</w:t>
      </w:r>
    </w:p>
    <w:p>
      <w:pPr>
        <w:spacing w:line="360" w:lineRule="auto"/>
        <w:ind w:left="420" w:hanging="420" w:hangingChars="175"/>
        <w:rPr>
          <w:rFonts w:ascii="宋体" w:hAnsi="宋体"/>
          <w:sz w:val="24"/>
        </w:rPr>
      </w:pPr>
      <w:r>
        <w:rPr>
          <w:rFonts w:hint="eastAsia" w:ascii="宋体" w:hAnsi="宋体"/>
          <w:sz w:val="24"/>
        </w:rPr>
        <w:t>（一）本项目不接受联合体投标。</w:t>
      </w:r>
    </w:p>
    <w:p>
      <w:pPr>
        <w:spacing w:line="360" w:lineRule="auto"/>
        <w:ind w:left="420" w:hanging="420" w:hangingChars="175"/>
        <w:rPr>
          <w:rFonts w:ascii="宋体" w:hAnsi="宋体"/>
          <w:sz w:val="24"/>
        </w:rPr>
      </w:pPr>
      <w:r>
        <w:rPr>
          <w:rFonts w:hint="eastAsia" w:ascii="宋体" w:hAnsi="宋体"/>
          <w:sz w:val="24"/>
        </w:rPr>
        <w:t>（二）法律、行政法规规定的其他条件：</w:t>
      </w:r>
    </w:p>
    <w:p>
      <w:pPr>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）投标人必须为前三年内未被列入“信用中国”网站（www.creditchina.gov.cn）、中国政府采购网（www.ccgp.gov.cn）信用记录失信被执行人、重大税收违法案件当事人名单、政府采购严重违法失信行为记录名单的；</w:t>
      </w:r>
    </w:p>
    <w:p>
      <w:pPr>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）不同投标人的法人、单位负责人不是同一人也不存在直接控股、管理关系；</w:t>
      </w:r>
    </w:p>
    <w:p>
      <w:pPr>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）投标人必须向采购代理机构购买招标文件并登记备案，未向采购代理机构购买招标文件并登记备案的无资格参加本次投标；</w:t>
      </w:r>
    </w:p>
    <w:p>
      <w:pPr>
        <w:pStyle w:val="8"/>
      </w:pPr>
      <w:r>
        <w:rPr>
          <w:rFonts w:hint="eastAsia" w:ascii="宋体" w:hAnsi="宋体"/>
          <w:sz w:val="24"/>
        </w:rPr>
        <w:t>（4）本项目不接受进口产品。</w:t>
      </w:r>
    </w:p>
    <w:p>
      <w:pPr>
        <w:spacing w:line="360" w:lineRule="auto"/>
        <w:rPr>
          <w:b/>
          <w:bCs/>
          <w:sz w:val="24"/>
          <w:szCs w:val="32"/>
        </w:rPr>
      </w:pPr>
      <w:bookmarkStart w:id="21" w:name="_Toc16466"/>
      <w:bookmarkStart w:id="22" w:name="_Toc35393623"/>
      <w:bookmarkStart w:id="23" w:name="_Toc35393792"/>
      <w:r>
        <w:rPr>
          <w:rFonts w:hint="eastAsia"/>
          <w:b/>
          <w:bCs/>
          <w:sz w:val="24"/>
          <w:szCs w:val="32"/>
        </w:rPr>
        <w:t>三、获取招标文件</w:t>
      </w:r>
      <w:bookmarkEnd w:id="19"/>
      <w:bookmarkEnd w:id="20"/>
      <w:bookmarkEnd w:id="21"/>
      <w:bookmarkEnd w:id="22"/>
      <w:bookmarkEnd w:id="23"/>
    </w:p>
    <w:p>
      <w:pPr>
        <w:spacing w:line="360" w:lineRule="auto"/>
        <w:rPr>
          <w:rFonts w:ascii="宋体" w:hAnsi="宋体"/>
          <w:sz w:val="24"/>
        </w:rPr>
      </w:pPr>
      <w:r>
        <w:rPr>
          <w:rFonts w:hint="eastAsia" w:ascii="宋体" w:hAnsi="宋体"/>
          <w:sz w:val="24"/>
        </w:rPr>
        <w:t>时间：</w:t>
      </w:r>
      <w:r>
        <w:rPr>
          <w:rFonts w:hint="eastAsia" w:ascii="宋体" w:hAnsi="宋体"/>
          <w:sz w:val="24"/>
          <w:u w:val="single"/>
        </w:rPr>
        <w:t>2022</w:t>
      </w:r>
      <w:r>
        <w:rPr>
          <w:rFonts w:hint="eastAsia" w:ascii="宋体" w:hAnsi="宋体"/>
          <w:sz w:val="24"/>
        </w:rPr>
        <w:t>年</w:t>
      </w:r>
      <w:r>
        <w:rPr>
          <w:rFonts w:hint="eastAsia" w:ascii="宋体" w:hAnsi="宋体"/>
          <w:sz w:val="24"/>
          <w:u w:val="single"/>
          <w:lang w:val="en-US" w:eastAsia="zh-CN"/>
        </w:rPr>
        <w:t>6</w:t>
      </w:r>
      <w:r>
        <w:rPr>
          <w:rFonts w:hint="eastAsia" w:ascii="宋体" w:hAnsi="宋体"/>
          <w:sz w:val="24"/>
        </w:rPr>
        <w:t>月</w:t>
      </w:r>
      <w:r>
        <w:rPr>
          <w:rFonts w:hint="eastAsia" w:ascii="宋体" w:hAnsi="宋体"/>
          <w:sz w:val="24"/>
          <w:u w:val="single"/>
          <w:lang w:val="en-US" w:eastAsia="zh-CN"/>
        </w:rPr>
        <w:t>29</w:t>
      </w:r>
      <w:r>
        <w:rPr>
          <w:rFonts w:hint="eastAsia" w:ascii="宋体" w:hAnsi="宋体"/>
          <w:sz w:val="24"/>
        </w:rPr>
        <w:t>日至</w:t>
      </w:r>
      <w:r>
        <w:rPr>
          <w:rFonts w:hint="eastAsia" w:ascii="宋体" w:hAnsi="宋体"/>
          <w:sz w:val="24"/>
          <w:u w:val="single"/>
        </w:rPr>
        <w:t>2022</w:t>
      </w:r>
      <w:r>
        <w:rPr>
          <w:rFonts w:hint="eastAsia" w:ascii="宋体" w:hAnsi="宋体"/>
          <w:sz w:val="24"/>
        </w:rPr>
        <w:t>年</w:t>
      </w:r>
      <w:r>
        <w:rPr>
          <w:rFonts w:hint="eastAsia" w:ascii="宋体" w:hAnsi="宋体"/>
          <w:sz w:val="24"/>
          <w:u w:val="single"/>
          <w:lang w:val="en-US" w:eastAsia="zh-CN"/>
        </w:rPr>
        <w:t>7</w:t>
      </w:r>
      <w:r>
        <w:rPr>
          <w:rFonts w:hint="eastAsia" w:ascii="宋体" w:hAnsi="宋体"/>
          <w:sz w:val="24"/>
        </w:rPr>
        <w:t>月</w:t>
      </w:r>
      <w:r>
        <w:rPr>
          <w:rFonts w:hint="eastAsia" w:ascii="宋体" w:hAnsi="宋体"/>
          <w:sz w:val="24"/>
          <w:u w:val="single"/>
          <w:lang w:val="en-US" w:eastAsia="zh-CN"/>
        </w:rPr>
        <w:t>6</w:t>
      </w:r>
      <w:r>
        <w:rPr>
          <w:rFonts w:hint="eastAsia" w:ascii="宋体" w:hAnsi="宋体"/>
          <w:sz w:val="24"/>
        </w:rPr>
        <w:t>日，每天上午</w:t>
      </w:r>
      <w:r>
        <w:rPr>
          <w:rFonts w:hint="eastAsia" w:ascii="宋体" w:hAnsi="宋体"/>
          <w:sz w:val="24"/>
          <w:u w:val="single"/>
        </w:rPr>
        <w:t>09:00</w:t>
      </w:r>
      <w:r>
        <w:rPr>
          <w:rFonts w:hint="eastAsia" w:ascii="宋体" w:hAnsi="宋体"/>
          <w:sz w:val="24"/>
        </w:rPr>
        <w:t>至</w:t>
      </w:r>
      <w:r>
        <w:rPr>
          <w:rFonts w:hint="eastAsia" w:ascii="宋体" w:hAnsi="宋体"/>
          <w:sz w:val="24"/>
          <w:u w:val="single"/>
        </w:rPr>
        <w:t>12:00</w:t>
      </w:r>
      <w:r>
        <w:rPr>
          <w:rFonts w:hint="eastAsia" w:ascii="宋体" w:hAnsi="宋体"/>
          <w:sz w:val="24"/>
        </w:rPr>
        <w:t>，下午</w:t>
      </w:r>
      <w:r>
        <w:rPr>
          <w:rFonts w:hint="eastAsia" w:ascii="宋体" w:hAnsi="宋体"/>
          <w:sz w:val="24"/>
          <w:u w:val="single"/>
        </w:rPr>
        <w:t>13:00</w:t>
      </w:r>
      <w:r>
        <w:rPr>
          <w:rFonts w:hint="eastAsia" w:ascii="宋体" w:hAnsi="宋体"/>
          <w:sz w:val="24"/>
        </w:rPr>
        <w:t>至</w:t>
      </w:r>
      <w:r>
        <w:rPr>
          <w:rFonts w:hint="eastAsia" w:ascii="宋体" w:hAnsi="宋体"/>
          <w:sz w:val="24"/>
          <w:u w:val="single"/>
        </w:rPr>
        <w:t>17:00</w:t>
      </w:r>
      <w:r>
        <w:rPr>
          <w:rFonts w:hint="eastAsia" w:ascii="宋体" w:hAnsi="宋体"/>
          <w:sz w:val="24"/>
        </w:rPr>
        <w:t>（北京时间，法定节假日除外）</w:t>
      </w:r>
    </w:p>
    <w:p>
      <w:pPr>
        <w:spacing w:line="360" w:lineRule="auto"/>
        <w:rPr>
          <w:rFonts w:ascii="宋体" w:hAnsi="宋体"/>
          <w:sz w:val="24"/>
          <w:u w:val="single"/>
        </w:rPr>
      </w:pPr>
      <w:r>
        <w:rPr>
          <w:rFonts w:hint="eastAsia" w:ascii="宋体" w:hAnsi="宋体"/>
          <w:sz w:val="24"/>
        </w:rPr>
        <w:t>地点：北京市丰台区广安路9号国投财富广场6号楼1601室</w:t>
      </w:r>
    </w:p>
    <w:p>
      <w:pPr>
        <w:spacing w:line="360" w:lineRule="auto"/>
        <w:rPr>
          <w:rFonts w:ascii="宋体" w:hAnsi="宋体"/>
          <w:b/>
          <w:bCs/>
          <w:sz w:val="24"/>
          <w:u w:val="single"/>
        </w:rPr>
      </w:pPr>
      <w:r>
        <w:rPr>
          <w:rFonts w:hint="eastAsia" w:ascii="宋体" w:hAnsi="宋体"/>
          <w:sz w:val="24"/>
        </w:rPr>
        <w:t>方式：现场获取，无需提供资料。</w:t>
      </w:r>
    </w:p>
    <w:p>
      <w:pPr>
        <w:spacing w:line="360" w:lineRule="auto"/>
        <w:rPr>
          <w:rFonts w:ascii="宋体" w:hAnsi="宋体"/>
          <w:sz w:val="24"/>
        </w:rPr>
      </w:pPr>
      <w:r>
        <w:rPr>
          <w:rFonts w:hint="eastAsia" w:ascii="宋体" w:hAnsi="宋体"/>
          <w:sz w:val="24"/>
        </w:rPr>
        <w:t>售价：500元/本，招标文件售后不退。</w:t>
      </w:r>
    </w:p>
    <w:p>
      <w:pPr>
        <w:spacing w:line="360" w:lineRule="auto"/>
        <w:rPr>
          <w:b/>
          <w:bCs/>
          <w:sz w:val="24"/>
          <w:szCs w:val="32"/>
        </w:rPr>
      </w:pPr>
      <w:bookmarkStart w:id="24" w:name="_Toc28359082"/>
      <w:bookmarkStart w:id="25" w:name="_Toc28359005"/>
      <w:bookmarkStart w:id="26" w:name="_Toc35393793"/>
      <w:bookmarkStart w:id="27" w:name="_Toc35393624"/>
      <w:bookmarkStart w:id="28" w:name="_Toc18171"/>
      <w:r>
        <w:rPr>
          <w:rFonts w:hint="eastAsia"/>
          <w:b/>
          <w:bCs/>
          <w:sz w:val="24"/>
          <w:szCs w:val="32"/>
        </w:rPr>
        <w:t>四、提交投标文件</w:t>
      </w:r>
      <w:bookmarkEnd w:id="24"/>
      <w:bookmarkEnd w:id="25"/>
      <w:r>
        <w:rPr>
          <w:rFonts w:hint="eastAsia"/>
          <w:b/>
          <w:bCs/>
          <w:sz w:val="24"/>
          <w:szCs w:val="32"/>
        </w:rPr>
        <w:t>截止时间、开标时间和地点</w:t>
      </w:r>
      <w:bookmarkEnd w:id="26"/>
      <w:bookmarkEnd w:id="27"/>
      <w:bookmarkEnd w:id="28"/>
    </w:p>
    <w:p>
      <w:pPr>
        <w:spacing w:line="360" w:lineRule="auto"/>
        <w:rPr>
          <w:rFonts w:ascii="宋体" w:hAnsi="宋体"/>
          <w:bCs/>
          <w:sz w:val="24"/>
          <w:u w:val="single"/>
        </w:rPr>
      </w:pPr>
      <w:r>
        <w:rPr>
          <w:rFonts w:hint="eastAsia" w:ascii="宋体" w:hAnsi="宋体"/>
          <w:bCs/>
          <w:sz w:val="24"/>
        </w:rPr>
        <w:t>提交投标文件截止时间、开标时间：</w:t>
      </w:r>
      <w:r>
        <w:rPr>
          <w:rFonts w:hint="eastAsia" w:ascii="宋体" w:hAnsi="宋体"/>
          <w:bCs/>
          <w:sz w:val="24"/>
          <w:u w:val="single"/>
        </w:rPr>
        <w:t>2022</w:t>
      </w:r>
      <w:r>
        <w:rPr>
          <w:rFonts w:hint="eastAsia" w:ascii="宋体" w:hAnsi="宋体"/>
          <w:bCs/>
          <w:sz w:val="24"/>
        </w:rPr>
        <w:t>年</w:t>
      </w:r>
      <w:r>
        <w:rPr>
          <w:rFonts w:hint="eastAsia" w:ascii="宋体" w:hAnsi="宋体"/>
          <w:bCs/>
          <w:sz w:val="24"/>
          <w:u w:val="single"/>
          <w:lang w:val="en-US" w:eastAsia="zh-CN"/>
        </w:rPr>
        <w:t>7</w:t>
      </w:r>
      <w:r>
        <w:rPr>
          <w:rFonts w:hint="eastAsia" w:ascii="宋体" w:hAnsi="宋体"/>
          <w:bCs/>
          <w:sz w:val="24"/>
        </w:rPr>
        <w:t>月</w:t>
      </w:r>
      <w:r>
        <w:rPr>
          <w:rFonts w:hint="eastAsia" w:ascii="宋体" w:hAnsi="宋体"/>
          <w:bCs/>
          <w:sz w:val="24"/>
          <w:u w:val="single"/>
          <w:lang w:val="en-US" w:eastAsia="zh-CN"/>
        </w:rPr>
        <w:t>21</w:t>
      </w:r>
      <w:r>
        <w:rPr>
          <w:rFonts w:hint="eastAsia" w:ascii="宋体" w:hAnsi="宋体"/>
          <w:bCs/>
          <w:sz w:val="24"/>
        </w:rPr>
        <w:t>日</w:t>
      </w:r>
      <w:r>
        <w:rPr>
          <w:rFonts w:hint="eastAsia" w:ascii="宋体" w:hAnsi="宋体"/>
          <w:bCs/>
          <w:sz w:val="24"/>
          <w:u w:val="single"/>
        </w:rPr>
        <w:t>下午13:30</w:t>
      </w:r>
      <w:r>
        <w:rPr>
          <w:rFonts w:hint="eastAsia" w:ascii="宋体" w:hAnsi="宋体"/>
          <w:bCs/>
          <w:sz w:val="24"/>
        </w:rPr>
        <w:t>（北京时间）</w:t>
      </w:r>
    </w:p>
    <w:p>
      <w:pPr>
        <w:spacing w:line="360" w:lineRule="auto"/>
        <w:rPr>
          <w:rFonts w:ascii="宋体" w:hAnsi="宋体"/>
          <w:bCs/>
          <w:sz w:val="24"/>
          <w:u w:val="single"/>
        </w:rPr>
      </w:pPr>
      <w:r>
        <w:rPr>
          <w:rFonts w:hint="eastAsia" w:ascii="宋体" w:hAnsi="宋体"/>
          <w:sz w:val="24"/>
        </w:rPr>
        <w:t>地点：</w:t>
      </w:r>
      <w:r>
        <w:rPr>
          <w:rFonts w:hint="eastAsia" w:asciiTheme="minorEastAsia" w:hAnsiTheme="minorEastAsia" w:eastAsiaTheme="minorEastAsia" w:cstheme="minorEastAsia"/>
          <w:color w:val="000000" w:themeColor="text1"/>
          <w:sz w:val="24"/>
          <w14:textFill>
            <w14:solidFill>
              <w14:schemeClr w14:val="tx1"/>
            </w14:solidFill>
          </w14:textFill>
        </w:rPr>
        <w:t>北京市丰台区广安路9号国投财富广场6号楼16层</w:t>
      </w:r>
      <w:r>
        <w:rPr>
          <w:rFonts w:hint="eastAsia" w:ascii="宋体" w:hAnsi="宋体"/>
          <w:sz w:val="24"/>
        </w:rPr>
        <w:t>第</w:t>
      </w:r>
      <w:r>
        <w:rPr>
          <w:rFonts w:hint="eastAsia" w:asciiTheme="minorEastAsia" w:hAnsiTheme="minorEastAsia" w:eastAsiaTheme="minorEastAsia"/>
          <w:sz w:val="24"/>
          <w:lang w:val="en-US" w:eastAsia="zh-CN"/>
        </w:rPr>
        <w:t>二</w:t>
      </w:r>
      <w:r>
        <w:rPr>
          <w:rFonts w:hint="eastAsia" w:asciiTheme="minorEastAsia" w:hAnsiTheme="minorEastAsia" w:eastAsiaTheme="minorEastAsia" w:cstheme="minorEastAsia"/>
          <w:color w:val="000000" w:themeColor="text1"/>
          <w:sz w:val="24"/>
          <w14:textFill>
            <w14:solidFill>
              <w14:schemeClr w14:val="tx1"/>
            </w14:solidFill>
          </w14:textFill>
        </w:rPr>
        <w:t>会议室</w:t>
      </w:r>
    </w:p>
    <w:p>
      <w:pPr>
        <w:spacing w:line="360" w:lineRule="auto"/>
        <w:rPr>
          <w:b/>
          <w:bCs/>
          <w:sz w:val="24"/>
          <w:szCs w:val="32"/>
        </w:rPr>
      </w:pPr>
      <w:bookmarkStart w:id="29" w:name="_Toc35393794"/>
      <w:bookmarkStart w:id="30" w:name="_Toc28359007"/>
      <w:bookmarkStart w:id="31" w:name="_Toc35393625"/>
      <w:bookmarkStart w:id="32" w:name="_Toc28359084"/>
      <w:bookmarkStart w:id="33" w:name="_Toc9136"/>
      <w:r>
        <w:rPr>
          <w:rFonts w:hint="eastAsia"/>
          <w:b/>
          <w:bCs/>
          <w:sz w:val="24"/>
          <w:szCs w:val="32"/>
        </w:rPr>
        <w:t>五、公告期限</w:t>
      </w:r>
      <w:bookmarkEnd w:id="29"/>
      <w:bookmarkEnd w:id="30"/>
      <w:bookmarkEnd w:id="31"/>
      <w:bookmarkEnd w:id="32"/>
      <w:bookmarkEnd w:id="33"/>
    </w:p>
    <w:p>
      <w:pPr>
        <w:spacing w:line="360" w:lineRule="auto"/>
        <w:rPr>
          <w:rFonts w:ascii="宋体" w:hAnsi="宋体"/>
          <w:kern w:val="0"/>
          <w:sz w:val="24"/>
        </w:rPr>
      </w:pPr>
      <w:r>
        <w:rPr>
          <w:rFonts w:hint="eastAsia" w:ascii="宋体" w:hAnsi="宋体"/>
          <w:kern w:val="0"/>
          <w:sz w:val="24"/>
        </w:rPr>
        <w:t>自本公告发布之日起5个工作日。</w:t>
      </w:r>
    </w:p>
    <w:p>
      <w:pPr>
        <w:spacing w:line="360" w:lineRule="auto"/>
        <w:rPr>
          <w:b/>
          <w:bCs/>
          <w:sz w:val="24"/>
          <w:szCs w:val="32"/>
        </w:rPr>
      </w:pPr>
      <w:bookmarkStart w:id="34" w:name="_Toc35393795"/>
      <w:bookmarkStart w:id="35" w:name="_Toc35393626"/>
      <w:bookmarkStart w:id="36" w:name="_Toc8180"/>
      <w:r>
        <w:rPr>
          <w:rFonts w:hint="eastAsia"/>
          <w:b/>
          <w:bCs/>
          <w:sz w:val="24"/>
          <w:szCs w:val="32"/>
        </w:rPr>
        <w:t>六、其他补充事宜</w:t>
      </w:r>
      <w:bookmarkEnd w:id="34"/>
      <w:bookmarkEnd w:id="35"/>
      <w:bookmarkEnd w:id="36"/>
    </w:p>
    <w:p>
      <w:pPr>
        <w:spacing w:line="360" w:lineRule="auto"/>
        <w:rPr>
          <w:rFonts w:ascii="宋体" w:hAnsi="宋体"/>
          <w:sz w:val="24"/>
        </w:rPr>
      </w:pPr>
      <w:r>
        <w:rPr>
          <w:rFonts w:hint="eastAsia" w:ascii="宋体" w:hAnsi="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spacing w:line="360" w:lineRule="auto"/>
        <w:rPr>
          <w:rFonts w:ascii="宋体" w:hAnsi="宋体"/>
          <w:sz w:val="24"/>
        </w:rPr>
      </w:pPr>
      <w:r>
        <w:rPr>
          <w:rFonts w:hint="eastAsia" w:ascii="宋体" w:hAnsi="宋体"/>
          <w:sz w:val="24"/>
        </w:rPr>
        <w:t>2.本项目招标公告在中国政府采购网（http://www.ccgp.gov.cn/）上发布。</w:t>
      </w:r>
    </w:p>
    <w:p>
      <w:pPr>
        <w:spacing w:line="360" w:lineRule="auto"/>
        <w:rPr>
          <w:b/>
          <w:bCs/>
          <w:sz w:val="24"/>
          <w:szCs w:val="32"/>
        </w:rPr>
      </w:pPr>
      <w:bookmarkStart w:id="37" w:name="_Toc28359085"/>
      <w:bookmarkStart w:id="38" w:name="_Toc28359008"/>
      <w:bookmarkStart w:id="39" w:name="_Toc35393796"/>
      <w:bookmarkStart w:id="40" w:name="_Toc1705"/>
      <w:bookmarkStart w:id="41" w:name="_Toc35393627"/>
      <w:r>
        <w:rPr>
          <w:rFonts w:hint="eastAsia"/>
          <w:b/>
          <w:bCs/>
          <w:sz w:val="24"/>
          <w:szCs w:val="32"/>
        </w:rPr>
        <w:t>七、对本次招标提出询问，请按以下方式联系。</w:t>
      </w:r>
      <w:bookmarkEnd w:id="37"/>
      <w:bookmarkEnd w:id="38"/>
      <w:bookmarkEnd w:id="39"/>
      <w:bookmarkEnd w:id="40"/>
      <w:bookmarkEnd w:id="41"/>
    </w:p>
    <w:p>
      <w:pPr>
        <w:spacing w:line="360" w:lineRule="auto"/>
        <w:ind w:left="420" w:hanging="420" w:hangingChars="175"/>
        <w:rPr>
          <w:rFonts w:ascii="宋体" w:hAnsi="宋体"/>
          <w:sz w:val="24"/>
        </w:rPr>
      </w:pPr>
      <w:r>
        <w:rPr>
          <w:rFonts w:hint="eastAsia" w:ascii="宋体" w:hAnsi="宋体"/>
          <w:sz w:val="24"/>
        </w:rPr>
        <w:t>　1、采购人信息</w:t>
      </w:r>
    </w:p>
    <w:p>
      <w:pPr>
        <w:spacing w:line="360" w:lineRule="auto"/>
        <w:ind w:firstLine="240" w:firstLineChars="100"/>
        <w:jc w:val="left"/>
        <w:rPr>
          <w:rFonts w:ascii="宋体" w:hAnsi="宋体"/>
          <w:sz w:val="24"/>
        </w:rPr>
      </w:pPr>
      <w:bookmarkStart w:id="42" w:name="_Toc28359009"/>
      <w:bookmarkStart w:id="43" w:name="_Toc28359086"/>
      <w:r>
        <w:rPr>
          <w:rFonts w:hint="eastAsia" w:ascii="宋体" w:hAnsi="宋体"/>
          <w:sz w:val="24"/>
        </w:rPr>
        <w:t>名 称：华北电力大学</w:t>
      </w:r>
    </w:p>
    <w:p>
      <w:pPr>
        <w:spacing w:line="360" w:lineRule="auto"/>
        <w:ind w:firstLine="240" w:firstLineChars="100"/>
        <w:jc w:val="left"/>
        <w:rPr>
          <w:rFonts w:ascii="宋体" w:hAnsi="宋体"/>
          <w:sz w:val="24"/>
        </w:rPr>
      </w:pPr>
      <w:r>
        <w:rPr>
          <w:rFonts w:hint="eastAsia" w:ascii="宋体" w:hAnsi="宋体"/>
          <w:sz w:val="24"/>
        </w:rPr>
        <w:t>地 址：北京市昌平区回龙观北农路2号</w:t>
      </w:r>
    </w:p>
    <w:p>
      <w:pPr>
        <w:spacing w:line="360" w:lineRule="auto"/>
        <w:ind w:firstLine="240" w:firstLineChars="100"/>
        <w:jc w:val="left"/>
        <w:rPr>
          <w:rFonts w:ascii="宋体" w:hAnsi="宋体"/>
          <w:sz w:val="24"/>
        </w:rPr>
      </w:pPr>
      <w:r>
        <w:rPr>
          <w:rFonts w:hint="eastAsia" w:ascii="宋体" w:hAnsi="宋体"/>
          <w:sz w:val="24"/>
        </w:rPr>
        <w:t>联系方式：张老师 010-61772996</w:t>
      </w:r>
    </w:p>
    <w:p>
      <w:pPr>
        <w:spacing w:line="360" w:lineRule="auto"/>
        <w:ind w:left="419" w:leftChars="114" w:hanging="180" w:hangingChars="75"/>
        <w:rPr>
          <w:rFonts w:ascii="宋体" w:hAnsi="宋体"/>
          <w:sz w:val="24"/>
        </w:rPr>
      </w:pPr>
      <w:r>
        <w:rPr>
          <w:rFonts w:hint="eastAsia" w:ascii="宋体" w:hAnsi="宋体"/>
          <w:sz w:val="24"/>
        </w:rPr>
        <w:t>2、采购代理机构信息</w:t>
      </w:r>
      <w:bookmarkEnd w:id="42"/>
      <w:bookmarkEnd w:id="43"/>
    </w:p>
    <w:p>
      <w:pPr>
        <w:spacing w:line="360" w:lineRule="auto"/>
        <w:ind w:firstLine="240" w:firstLineChars="100"/>
        <w:rPr>
          <w:rFonts w:ascii="宋体" w:hAnsi="宋体"/>
          <w:sz w:val="24"/>
        </w:rPr>
      </w:pPr>
      <w:r>
        <w:rPr>
          <w:rFonts w:hint="eastAsia" w:ascii="宋体" w:hAnsi="宋体"/>
          <w:sz w:val="24"/>
        </w:rPr>
        <w:t>名 称：华采招标集团有限公司</w:t>
      </w:r>
    </w:p>
    <w:p>
      <w:pPr>
        <w:spacing w:line="360" w:lineRule="auto"/>
        <w:ind w:firstLine="240" w:firstLineChars="100"/>
        <w:rPr>
          <w:rFonts w:ascii="宋体" w:hAnsi="宋体"/>
          <w:sz w:val="24"/>
        </w:rPr>
      </w:pPr>
      <w:r>
        <w:rPr>
          <w:rFonts w:hint="eastAsia" w:ascii="宋体" w:hAnsi="宋体"/>
          <w:sz w:val="24"/>
        </w:rPr>
        <w:t>地　址：北京市丰台区广安路9号国投财富广场6号楼1601室</w:t>
      </w:r>
    </w:p>
    <w:p>
      <w:pPr>
        <w:spacing w:line="360" w:lineRule="auto"/>
        <w:ind w:firstLine="240" w:firstLineChars="100"/>
        <w:rPr>
          <w:rFonts w:hint="eastAsia" w:ascii="宋体" w:hAnsi="宋体" w:eastAsia="宋体"/>
          <w:sz w:val="24"/>
          <w:lang w:eastAsia="zh-CN"/>
        </w:rPr>
      </w:pPr>
      <w:r>
        <w:rPr>
          <w:rFonts w:hint="eastAsia" w:ascii="宋体" w:hAnsi="宋体"/>
          <w:sz w:val="24"/>
        </w:rPr>
        <w:t>联系方式：</w:t>
      </w:r>
      <w:bookmarkStart w:id="44" w:name="_Toc28359010"/>
      <w:bookmarkStart w:id="45" w:name="_Toc28359087"/>
      <w:r>
        <w:rPr>
          <w:rFonts w:hint="eastAsia" w:ascii="宋体" w:hAnsi="宋体"/>
          <w:sz w:val="24"/>
        </w:rPr>
        <w:t xml:space="preserve">贾东敏、蒲晓芳、姚冲、刘金秀 </w:t>
      </w:r>
      <w:r>
        <w:rPr>
          <w:rFonts w:hint="eastAsia" w:ascii="宋体" w:hAnsi="宋体"/>
          <w:sz w:val="24"/>
          <w:lang w:eastAsia="zh-CN"/>
        </w:rPr>
        <w:t>186-1228-7813/7807</w:t>
      </w:r>
    </w:p>
    <w:p>
      <w:pPr>
        <w:spacing w:line="360" w:lineRule="auto"/>
        <w:ind w:left="419" w:leftChars="114" w:hanging="180" w:hangingChars="75"/>
        <w:rPr>
          <w:rFonts w:ascii="宋体" w:hAnsi="宋体"/>
          <w:sz w:val="24"/>
        </w:rPr>
      </w:pPr>
      <w:r>
        <w:rPr>
          <w:rFonts w:hint="eastAsia" w:ascii="宋体" w:hAnsi="宋体"/>
          <w:sz w:val="24"/>
        </w:rPr>
        <w:t>3、项目联系方式</w:t>
      </w:r>
      <w:bookmarkEnd w:id="44"/>
      <w:bookmarkEnd w:id="45"/>
    </w:p>
    <w:p>
      <w:pPr>
        <w:spacing w:line="360" w:lineRule="auto"/>
        <w:ind w:firstLine="240" w:firstLineChars="100"/>
        <w:rPr>
          <w:rFonts w:ascii="宋体" w:hAnsi="宋体"/>
          <w:sz w:val="24"/>
        </w:rPr>
      </w:pPr>
      <w:r>
        <w:rPr>
          <w:rFonts w:hint="eastAsia" w:ascii="宋体" w:hAnsi="宋体"/>
          <w:sz w:val="24"/>
        </w:rPr>
        <w:t>项目联系人：贾东敏、蒲晓芳、姚冲、刘金秀</w:t>
      </w:r>
    </w:p>
    <w:p>
      <w:pPr>
        <w:spacing w:line="360" w:lineRule="auto"/>
        <w:ind w:firstLine="240" w:firstLineChars="100"/>
        <w:rPr>
          <w:rFonts w:hint="eastAsia" w:ascii="宋体" w:hAnsi="宋体" w:eastAsia="宋体"/>
          <w:sz w:val="24"/>
          <w:lang w:eastAsia="zh-CN"/>
        </w:rPr>
      </w:pPr>
      <w:r>
        <w:rPr>
          <w:rFonts w:hint="eastAsia" w:ascii="宋体" w:hAnsi="宋体"/>
          <w:sz w:val="24"/>
        </w:rPr>
        <w:t>电　话：</w:t>
      </w:r>
      <w:r>
        <w:rPr>
          <w:rFonts w:hint="eastAsia" w:ascii="宋体" w:hAnsi="宋体"/>
          <w:sz w:val="24"/>
          <w:lang w:eastAsia="zh-CN"/>
        </w:rPr>
        <w:t>186-1228-7813/7807</w:t>
      </w:r>
    </w:p>
    <w:p>
      <w:pPr>
        <w:rPr>
          <w:rStyle w:val="26"/>
        </w:rPr>
      </w:pPr>
      <w:bookmarkStart w:id="46" w:name="_Toc40110890"/>
      <w:bookmarkStart w:id="47" w:name="_Toc18423"/>
    </w:p>
    <w:p>
      <w:pPr>
        <w:rPr>
          <w:rStyle w:val="26"/>
        </w:rPr>
      </w:pPr>
      <w:bookmarkStart w:id="48" w:name="_Toc4129"/>
      <w:r>
        <w:rPr>
          <w:rStyle w:val="26"/>
          <w:rFonts w:hint="eastAsia"/>
        </w:rPr>
        <w:br w:type="page"/>
      </w:r>
    </w:p>
    <w:p>
      <w:pPr>
        <w:spacing w:line="360" w:lineRule="auto"/>
        <w:ind w:firstLine="562" w:firstLineChars="200"/>
        <w:jc w:val="center"/>
        <w:outlineLvl w:val="0"/>
        <w:rPr>
          <w:sz w:val="24"/>
        </w:rPr>
      </w:pPr>
      <w:r>
        <w:rPr>
          <w:rStyle w:val="26"/>
          <w:rFonts w:hint="eastAsia"/>
        </w:rPr>
        <w:t>第二章 投标人须知资料表</w:t>
      </w:r>
      <w:bookmarkEnd w:id="6"/>
      <w:bookmarkEnd w:id="7"/>
      <w:bookmarkEnd w:id="46"/>
      <w:bookmarkEnd w:id="47"/>
      <w:bookmarkEnd w:id="48"/>
    </w:p>
    <w:p>
      <w:pPr>
        <w:spacing w:line="360" w:lineRule="auto"/>
        <w:rPr>
          <w:rFonts w:ascii="宋体" w:hAnsi="宋体"/>
          <w:sz w:val="24"/>
        </w:rPr>
      </w:pPr>
      <w:r>
        <w:rPr>
          <w:rFonts w:hint="eastAsia" w:ascii="宋体" w:hAnsi="宋体"/>
          <w:sz w:val="24"/>
        </w:rPr>
        <w:t>本资料表是对投标人须知的具体补充和说明，如有矛盾，应以本资料表为准。</w:t>
      </w:r>
    </w:p>
    <w:tbl>
      <w:tblPr>
        <w:tblStyle w:val="20"/>
        <w:tblW w:w="8499" w:type="dxa"/>
        <w:tblInd w:w="-2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5"/>
        <w:gridCol w:w="7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tcBorders>
              <w:top w:val="single" w:color="auto" w:sz="12" w:space="0"/>
            </w:tcBorders>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7704" w:type="dxa"/>
            <w:tcBorders>
              <w:top w:val="single" w:color="auto" w:sz="12" w:space="0"/>
            </w:tcBorders>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7704" w:type="dxa"/>
            <w:vAlign w:val="center"/>
          </w:tcPr>
          <w:p>
            <w:pPr>
              <w:spacing w:line="360" w:lineRule="auto"/>
              <w:rPr>
                <w:rFonts w:ascii="宋体" w:hAnsi="宋体"/>
                <w:sz w:val="24"/>
              </w:rPr>
            </w:pPr>
            <w:r>
              <w:rPr>
                <w:rFonts w:hint="eastAsia" w:ascii="宋体" w:hAnsi="宋体"/>
                <w:sz w:val="24"/>
              </w:rPr>
              <w:t>采购人名称：华北电力大学</w:t>
            </w:r>
          </w:p>
          <w:p>
            <w:pPr>
              <w:spacing w:line="360" w:lineRule="auto"/>
              <w:rPr>
                <w:rFonts w:ascii="ˎ̥" w:hAnsi="ˎ̥"/>
                <w:kern w:val="0"/>
                <w:sz w:val="24"/>
              </w:rPr>
            </w:pPr>
            <w:r>
              <w:rPr>
                <w:rFonts w:hint="eastAsia" w:ascii="宋体" w:hAnsi="宋体"/>
                <w:sz w:val="24"/>
              </w:rPr>
              <w:t>联系地址：北京市昌平区回龙观北农路2号</w:t>
            </w:r>
          </w:p>
          <w:p>
            <w:pPr>
              <w:spacing w:line="360" w:lineRule="auto"/>
              <w:rPr>
                <w:rFonts w:asciiTheme="minorEastAsia" w:hAnsiTheme="minorEastAsia" w:eastAsiaTheme="minorEastAsia" w:cstheme="minorEastAsia"/>
                <w:sz w:val="24"/>
              </w:rPr>
            </w:pPr>
            <w:r>
              <w:rPr>
                <w:rFonts w:hint="eastAsia" w:ascii="ˎ̥" w:hAnsi="ˎ̥"/>
                <w:kern w:val="0"/>
                <w:sz w:val="24"/>
              </w:rPr>
              <w:t>联系方式：</w:t>
            </w:r>
            <w:r>
              <w:rPr>
                <w:rFonts w:hint="eastAsia" w:ascii="宋体" w:hAnsi="宋体"/>
                <w:sz w:val="24"/>
              </w:rPr>
              <w:t>张老师010-6177299</w:t>
            </w:r>
            <w:r>
              <w:rPr>
                <w:rFonts w:ascii="宋体" w:hAnsi="宋体"/>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70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采购代理机构名称：华采招标集团有限公司</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联系地址：北京市丰台区广安路9号国投财富广场6号楼1601室</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宋体" w:hAnsi="宋体" w:eastAsiaTheme="minorEastAsia"/>
                <w:sz w:val="24"/>
              </w:rPr>
              <w:t>贾东敏、蒲晓芳、姚冲、刘金秀</w:t>
            </w:r>
          </w:p>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联系方式：</w:t>
            </w:r>
            <w:r>
              <w:rPr>
                <w:rFonts w:hint="eastAsia" w:ascii="宋体" w:hAnsi="宋体" w:cs="??" w:eastAsiaTheme="minorEastAsia"/>
                <w:sz w:val="24"/>
                <w:lang w:eastAsia="zh-CN"/>
              </w:rPr>
              <w:t>186-1228-7813/7807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770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本项目是否接受联合体投标：否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w:t>
            </w:r>
          </w:p>
        </w:tc>
        <w:tc>
          <w:tcPr>
            <w:tcW w:w="7704" w:type="dxa"/>
            <w:vAlign w:val="center"/>
          </w:tcPr>
          <w:p>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sz w:val="24"/>
              </w:rPr>
              <w:t>本项目是否接受进口产品：否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1.3.6</w:t>
            </w:r>
          </w:p>
        </w:tc>
        <w:tc>
          <w:tcPr>
            <w:tcW w:w="7704" w:type="dxa"/>
            <w:vAlign w:val="center"/>
          </w:tcPr>
          <w:p>
            <w:pPr>
              <w:spacing w:line="360" w:lineRule="auto"/>
              <w:rPr>
                <w:rFonts w:asciiTheme="minorEastAsia" w:hAnsiTheme="minorEastAsia" w:eastAsiaTheme="minorEastAsia" w:cstheme="minorEastAsia"/>
                <w:color w:val="FF0000"/>
                <w:sz w:val="24"/>
                <w:u w:val="single"/>
              </w:rPr>
            </w:pPr>
            <w:r>
              <w:rPr>
                <w:rFonts w:hint="eastAsia" w:ascii="宋体" w:hAnsi="宋体"/>
                <w:sz w:val="24"/>
              </w:rPr>
              <w:t>本项目非专门面向中小型、微型企业（监狱、戒毒企业、残疾人福利性单位视同小微企业）采购。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770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资金性质：财政资金</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sz w:val="24"/>
              </w:rPr>
              <w:t>本项目预算金额：58.72万元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7704" w:type="dxa"/>
            <w:vAlign w:val="center"/>
          </w:tcPr>
          <w:p>
            <w:pPr>
              <w:pStyle w:val="19"/>
              <w:ind w:left="0" w:leftChars="0" w:firstLine="0" w:firstLineChars="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投标报价：均以人民币报价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7704"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投标保证金：本项目不收取保证金。</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递交时间：同投标文件递交截止时间</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递交地点：华采招标集团有限公司(北京市丰台区广安路9号国投财富广场6号楼1601室）。</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提交投标保证金形式：支票、汇票、本票或者金融机构、担保机构出具的保函等非现金形式提交</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投标保证金汇款账户：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开户行名称：华采招标集团有限公司</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 户 行：建行北京西客站支行（仅限投标保证金）</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账    号：1105 0165 5100 0000 0292（汇款时请注明：ZB0592保证金）</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行    号：1051 0000 9047</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退还投标保证金形式：北京地区单位支票形式、外埠单位电汇形式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7704"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投标有效期：90天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7704"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投标文件资格册：正本：1份，副本：</w:t>
            </w:r>
            <w:r>
              <w:rPr>
                <w:rFonts w:asciiTheme="minorEastAsia" w:hAnsiTheme="minorEastAsia" w:eastAsiaTheme="minorEastAsia" w:cstheme="minorEastAsia"/>
                <w:b/>
                <w:sz w:val="24"/>
              </w:rPr>
              <w:t>4</w:t>
            </w:r>
            <w:r>
              <w:rPr>
                <w:rFonts w:hint="eastAsia" w:asciiTheme="minorEastAsia" w:hAnsiTheme="minorEastAsia" w:eastAsiaTheme="minorEastAsia" w:cstheme="minorEastAsia"/>
                <w:b/>
                <w:sz w:val="24"/>
              </w:rPr>
              <w:t>份，电子版：1份。</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投标文件商务技术册：正本：1份，副本：</w:t>
            </w:r>
            <w:r>
              <w:rPr>
                <w:rFonts w:asciiTheme="minorEastAsia" w:hAnsiTheme="minorEastAsia" w:eastAsiaTheme="minorEastAsia" w:cstheme="minorEastAsia"/>
                <w:b/>
                <w:sz w:val="24"/>
              </w:rPr>
              <w:t>4</w:t>
            </w:r>
            <w:r>
              <w:rPr>
                <w:rFonts w:hint="eastAsia" w:asciiTheme="minorEastAsia" w:hAnsiTheme="minorEastAsia" w:eastAsiaTheme="minorEastAsia" w:cstheme="minorEastAsia"/>
                <w:b/>
                <w:sz w:val="24"/>
              </w:rPr>
              <w:t>份，电子版：1份。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（电子文件应提供可编辑word文档和PDF盖章扫描件，存储载体为U盘或光盘）。</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若投标文件正本和副本、电子文件不符，以纸质正本为准。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15.1</w:t>
            </w:r>
          </w:p>
        </w:tc>
        <w:tc>
          <w:tcPr>
            <w:tcW w:w="7704" w:type="dxa"/>
            <w:vAlign w:val="center"/>
          </w:tcPr>
          <w:p>
            <w:pPr>
              <w:spacing w:line="360" w:lineRule="auto"/>
              <w:rPr>
                <w:rFonts w:asciiTheme="minorEastAsia" w:hAnsiTheme="minorEastAsia" w:eastAsiaTheme="minorEastAsia" w:cstheme="minorEastAsia"/>
                <w:sz w:val="24"/>
              </w:rPr>
            </w:pPr>
            <w:r>
              <w:rPr>
                <w:rFonts w:ascii="宋体" w:hAnsi="宋体"/>
                <w:b/>
                <w:sz w:val="24"/>
              </w:rPr>
              <w:t>投标文件一律采用A4</w:t>
            </w:r>
            <w:r>
              <w:rPr>
                <w:rFonts w:hint="eastAsia" w:ascii="宋体" w:hAnsi="宋体"/>
                <w:b/>
                <w:sz w:val="24"/>
              </w:rPr>
              <w:t>幅面</w:t>
            </w:r>
            <w:r>
              <w:rPr>
                <w:rFonts w:ascii="宋体" w:hAnsi="宋体"/>
                <w:b/>
                <w:sz w:val="24"/>
              </w:rPr>
              <w:t>（图纸、彩页等除外）</w:t>
            </w:r>
            <w:r>
              <w:rPr>
                <w:rFonts w:hint="eastAsia" w:ascii="宋体" w:hAnsi="宋体"/>
                <w:b/>
                <w:sz w:val="24"/>
              </w:rPr>
              <w:t>，</w:t>
            </w:r>
            <w:r>
              <w:rPr>
                <w:rFonts w:ascii="宋体" w:hAnsi="宋体"/>
                <w:b/>
                <w:sz w:val="24"/>
              </w:rPr>
              <w:t>左侧装订。装订应牢固</w:t>
            </w:r>
            <w:r>
              <w:rPr>
                <w:rFonts w:hint="eastAsia" w:ascii="宋体" w:hAnsi="宋体"/>
                <w:b/>
                <w:sz w:val="24"/>
              </w:rPr>
              <w:t>紧密</w:t>
            </w:r>
            <w:r>
              <w:rPr>
                <w:rFonts w:ascii="宋体" w:hAnsi="宋体"/>
                <w:b/>
                <w:sz w:val="24"/>
              </w:rPr>
              <w:t>，不易</w:t>
            </w:r>
            <w:r>
              <w:rPr>
                <w:rFonts w:hint="eastAsia" w:ascii="宋体" w:hAnsi="宋体"/>
                <w:b/>
                <w:sz w:val="24"/>
              </w:rPr>
              <w:t>松动</w:t>
            </w:r>
            <w:r>
              <w:rPr>
                <w:rFonts w:ascii="宋体" w:hAnsi="宋体"/>
                <w:b/>
                <w:sz w:val="24"/>
              </w:rPr>
              <w:t>散落，不得采用活页试装订</w:t>
            </w:r>
            <w:r>
              <w:rPr>
                <w:rFonts w:hint="eastAsia" w:ascii="宋体" w:hAnsi="宋体"/>
                <w:b/>
                <w:sz w:val="24"/>
              </w:rPr>
              <w:t>，采购人或采购代理机构对因装订不牢造成的文件散失不负责任。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17.1</w:t>
            </w:r>
          </w:p>
        </w:tc>
        <w:tc>
          <w:tcPr>
            <w:tcW w:w="7704" w:type="dxa"/>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递交投标文件截止时间暨开标时间</w:t>
            </w:r>
            <w:r>
              <w:rPr>
                <w:rFonts w:ascii="宋体" w:hAnsi="宋体"/>
                <w:sz w:val="24"/>
              </w:rPr>
              <w:t>：</w:t>
            </w:r>
            <w:r>
              <w:rPr>
                <w:rFonts w:hint="eastAsia" w:ascii="宋体" w:hAnsi="宋体"/>
                <w:bCs/>
                <w:sz w:val="24"/>
                <w:u w:val="single"/>
              </w:rPr>
              <w:t>2022</w:t>
            </w:r>
            <w:r>
              <w:rPr>
                <w:rFonts w:hint="eastAsia" w:ascii="宋体" w:hAnsi="宋体"/>
                <w:bCs/>
                <w:sz w:val="24"/>
              </w:rPr>
              <w:t>年</w:t>
            </w:r>
            <w:r>
              <w:rPr>
                <w:rFonts w:hint="eastAsia" w:ascii="宋体" w:hAnsi="宋体"/>
                <w:bCs/>
                <w:sz w:val="24"/>
                <w:u w:val="single"/>
                <w:lang w:val="en-US" w:eastAsia="zh-CN"/>
              </w:rPr>
              <w:t>7</w:t>
            </w:r>
            <w:r>
              <w:rPr>
                <w:rFonts w:hint="eastAsia" w:ascii="宋体" w:hAnsi="宋体"/>
                <w:bCs/>
                <w:sz w:val="24"/>
              </w:rPr>
              <w:t>月</w:t>
            </w:r>
            <w:r>
              <w:rPr>
                <w:rFonts w:hint="eastAsia" w:ascii="宋体" w:hAnsi="宋体"/>
                <w:bCs/>
                <w:sz w:val="24"/>
                <w:u w:val="single"/>
                <w:lang w:val="en-US" w:eastAsia="zh-CN"/>
              </w:rPr>
              <w:t>21</w:t>
            </w:r>
            <w:r>
              <w:rPr>
                <w:rFonts w:hint="eastAsia" w:ascii="宋体" w:hAnsi="宋体"/>
                <w:bCs/>
                <w:sz w:val="24"/>
              </w:rPr>
              <w:t>日</w:t>
            </w:r>
            <w:r>
              <w:rPr>
                <w:rFonts w:hint="eastAsia" w:ascii="宋体" w:hAnsi="宋体"/>
                <w:bCs/>
                <w:sz w:val="24"/>
                <w:u w:val="single"/>
              </w:rPr>
              <w:t>下午13:30</w:t>
            </w:r>
            <w:r>
              <w:rPr>
                <w:rFonts w:hint="eastAsia" w:asciiTheme="minorEastAsia" w:hAnsiTheme="minorEastAsia" w:eastAsiaTheme="minorEastAsia" w:cstheme="minorEastAsia"/>
                <w:color w:val="000000" w:themeColor="text1"/>
                <w:sz w:val="24"/>
                <w14:textFill>
                  <w14:solidFill>
                    <w14:schemeClr w14:val="tx1"/>
                  </w14:solidFill>
                </w14:textFill>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w:t>
            </w:r>
          </w:p>
        </w:tc>
        <w:tc>
          <w:tcPr>
            <w:tcW w:w="770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投标文件递交地点暨开标地点：北京市丰台区广安路9号国投财富广场6号楼16层第</w:t>
            </w:r>
            <w:r>
              <w:rPr>
                <w:rFonts w:hint="eastAsia" w:asciiTheme="minorEastAsia" w:hAnsiTheme="minorEastAsia" w:eastAsiaTheme="minorEastAsia"/>
                <w:sz w:val="24"/>
                <w:lang w:val="en-US" w:eastAsia="zh-CN"/>
              </w:rPr>
              <w:t>二</w:t>
            </w:r>
            <w:r>
              <w:rPr>
                <w:rFonts w:hint="eastAsia" w:asciiTheme="minorEastAsia" w:hAnsiTheme="minorEastAsia" w:eastAsiaTheme="minorEastAsia" w:cstheme="minorEastAsia"/>
                <w:sz w:val="24"/>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w:t>
            </w:r>
          </w:p>
        </w:tc>
        <w:tc>
          <w:tcPr>
            <w:tcW w:w="770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履约保证金：详见合同专用条款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w:t>
            </w:r>
          </w:p>
        </w:tc>
        <w:tc>
          <w:tcPr>
            <w:tcW w:w="7704" w:type="dxa"/>
            <w:vAlign w:val="center"/>
          </w:tcPr>
          <w:p>
            <w:pPr>
              <w:spacing w:line="360" w:lineRule="auto"/>
              <w:rPr>
                <w:rFonts w:ascii="宋体" w:hAnsi="宋体"/>
                <w:sz w:val="24"/>
              </w:rPr>
            </w:pPr>
            <w:r>
              <w:rPr>
                <w:rFonts w:ascii="宋体" w:hAnsi="宋体"/>
                <w:sz w:val="24"/>
              </w:rPr>
              <w:t>中标人须向采购代理机构按如下标准和规定交纳中标服务费</w:t>
            </w:r>
            <w:r>
              <w:rPr>
                <w:rFonts w:hint="eastAsia" w:ascii="宋体" w:hAnsi="宋体"/>
                <w:sz w:val="24"/>
              </w:rPr>
              <w:t>：</w:t>
            </w:r>
          </w:p>
          <w:p>
            <w:pPr>
              <w:spacing w:line="360" w:lineRule="auto"/>
              <w:rPr>
                <w:rFonts w:ascii="宋体" w:hAnsi="宋体"/>
                <w:sz w:val="24"/>
              </w:rPr>
            </w:pPr>
            <w:r>
              <w:rPr>
                <w:rFonts w:ascii="宋体" w:hAnsi="宋体"/>
                <w:sz w:val="24"/>
              </w:rPr>
              <w:t>（1）以</w:t>
            </w:r>
            <w:r>
              <w:rPr>
                <w:rFonts w:hint="eastAsia" w:ascii="宋体" w:hAnsi="宋体"/>
                <w:sz w:val="24"/>
              </w:rPr>
              <w:t>中标金额</w:t>
            </w:r>
            <w:r>
              <w:rPr>
                <w:rFonts w:ascii="宋体" w:hAnsi="宋体"/>
                <w:sz w:val="24"/>
              </w:rPr>
              <w:t>作为收费的计算基数。</w:t>
            </w:r>
          </w:p>
          <w:p>
            <w:pPr>
              <w:widowControl/>
              <w:spacing w:line="360" w:lineRule="auto"/>
              <w:rPr>
                <w:rFonts w:ascii="宋体" w:hAnsi="宋体"/>
                <w:kern w:val="0"/>
                <w:sz w:val="24"/>
              </w:rPr>
            </w:pPr>
            <w:r>
              <w:rPr>
                <w:rFonts w:ascii="宋体" w:hAnsi="宋体"/>
                <w:sz w:val="24"/>
              </w:rPr>
              <w:t>（2）采购代理机构</w:t>
            </w:r>
            <w:r>
              <w:rPr>
                <w:rFonts w:hint="eastAsia" w:ascii="宋体" w:hAnsi="宋体"/>
                <w:sz w:val="24"/>
              </w:rPr>
              <w:t>参照原</w:t>
            </w:r>
            <w:r>
              <w:rPr>
                <w:rFonts w:ascii="宋体" w:hAnsi="宋体"/>
                <w:sz w:val="24"/>
              </w:rPr>
              <w:t>计价格[2002]1980号文、</w:t>
            </w:r>
            <w:r>
              <w:rPr>
                <w:rFonts w:ascii="宋体" w:hAnsi="宋体"/>
                <w:kern w:val="0"/>
                <w:sz w:val="24"/>
              </w:rPr>
              <w:t>发改办价格[2003]857号文及发改价格</w:t>
            </w:r>
            <w:r>
              <w:rPr>
                <w:rFonts w:ascii="宋体" w:hAnsi="宋体"/>
                <w:sz w:val="24"/>
              </w:rPr>
              <w:t>[2011]534</w:t>
            </w:r>
            <w:r>
              <w:rPr>
                <w:rFonts w:ascii="宋体" w:hAnsi="宋体"/>
                <w:kern w:val="0"/>
                <w:sz w:val="24"/>
              </w:rPr>
              <w:t>号文有关规定向</w:t>
            </w:r>
            <w:r>
              <w:rPr>
                <w:rFonts w:hint="eastAsia" w:ascii="宋体" w:hAnsi="宋体"/>
                <w:kern w:val="0"/>
                <w:sz w:val="24"/>
              </w:rPr>
              <w:t>中标人</w:t>
            </w:r>
            <w:r>
              <w:rPr>
                <w:rFonts w:ascii="宋体" w:hAnsi="宋体"/>
                <w:kern w:val="0"/>
                <w:sz w:val="24"/>
              </w:rPr>
              <w:t>收取</w:t>
            </w:r>
            <w:r>
              <w:rPr>
                <w:rFonts w:ascii="宋体" w:hAnsi="宋体"/>
                <w:sz w:val="24"/>
              </w:rPr>
              <w:t>中标服务费用。</w:t>
            </w:r>
          </w:p>
          <w:p>
            <w:pPr>
              <w:spacing w:line="360" w:lineRule="auto"/>
              <w:rPr>
                <w:rFonts w:ascii="宋体" w:hAnsi="宋体"/>
                <w:sz w:val="24"/>
              </w:rPr>
            </w:pPr>
            <w:r>
              <w:rPr>
                <w:rFonts w:ascii="宋体" w:hAnsi="宋体"/>
                <w:sz w:val="24"/>
              </w:rPr>
              <w:t>（3）中标服务费币种与中标签订合同的币种相同或</w:t>
            </w:r>
            <w:r>
              <w:rPr>
                <w:rFonts w:hint="eastAsia" w:ascii="宋体" w:hAnsi="宋体"/>
                <w:sz w:val="24"/>
              </w:rPr>
              <w:t>采购代理机构</w:t>
            </w:r>
            <w:r>
              <w:rPr>
                <w:rFonts w:ascii="宋体" w:hAnsi="宋体"/>
                <w:sz w:val="24"/>
              </w:rPr>
              <w:t>同意的币种</w:t>
            </w:r>
            <w:r>
              <w:rPr>
                <w:rFonts w:hint="eastAsia" w:ascii="宋体" w:hAnsi="宋体"/>
                <w:sz w:val="24"/>
              </w:rPr>
              <w:t>。</w:t>
            </w:r>
          </w:p>
          <w:p>
            <w:pPr>
              <w:spacing w:line="360" w:lineRule="auto"/>
              <w:rPr>
                <w:rFonts w:ascii="宋体" w:hAnsi="宋体"/>
                <w:sz w:val="24"/>
              </w:rPr>
            </w:pPr>
            <w:r>
              <w:rPr>
                <w:rFonts w:ascii="宋体" w:hAnsi="宋体"/>
                <w:sz w:val="24"/>
              </w:rPr>
              <w:t>（4）中标服务费的交纳方式：</w:t>
            </w:r>
          </w:p>
          <w:p>
            <w:pPr>
              <w:spacing w:line="360" w:lineRule="auto"/>
              <w:rPr>
                <w:rFonts w:ascii="宋体" w:hAnsi="宋体"/>
                <w:sz w:val="24"/>
              </w:rPr>
            </w:pPr>
            <w:r>
              <w:rPr>
                <w:rFonts w:ascii="宋体" w:hAnsi="宋体"/>
                <w:sz w:val="24"/>
              </w:rPr>
              <w:t>在投标时，投标人向采购代理机构送交中标服务费承诺书。</w:t>
            </w:r>
            <w:r>
              <w:rPr>
                <w:rFonts w:hint="eastAsia" w:ascii="宋体" w:hAnsi="宋体"/>
                <w:sz w:val="24"/>
              </w:rPr>
              <w:t>中标人</w:t>
            </w:r>
            <w:r>
              <w:rPr>
                <w:rFonts w:ascii="宋体" w:hAnsi="宋体"/>
                <w:sz w:val="24"/>
              </w:rPr>
              <w:t>在领取中标通知书时一次</w:t>
            </w:r>
            <w:r>
              <w:rPr>
                <w:rFonts w:hint="eastAsia" w:ascii="宋体" w:hAnsi="宋体"/>
                <w:sz w:val="24"/>
              </w:rPr>
              <w:t>性</w:t>
            </w:r>
            <w:r>
              <w:rPr>
                <w:rFonts w:ascii="宋体" w:hAnsi="宋体"/>
                <w:sz w:val="24"/>
              </w:rPr>
              <w:t>向采购代理机构交纳所有中标服务费。</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服务费汇款账户：（交纳中标服务费时请备注：ZB0592服务费）</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开户名：华采招标集团有限公司</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开户行：建行北京西客站支行</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账号：1100  1028  0000  5300  6877</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行号：1051 0000 9047（102800）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p>
        </w:tc>
        <w:tc>
          <w:tcPr>
            <w:tcW w:w="7704" w:type="dxa"/>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政府采购信用担保机构：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1.中国投融资担保股份有限公司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地址:北京市海淀区西三环北路100号光耀东方写字楼9层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联系人：边志伟    手机：13810789199</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联系电话：010-88822573     传真：010-68437040/68472315</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电子邮箱：bianzw@guaranty.com.cn</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2.北京首创投资担保有限责任公司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地址:北京市西城区闹市口大街一号长安兴融中心四号楼三层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联系人：杨阳   陈浩然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手机：13488752033  18910210850</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联系电话：010-58528750 58528760  传真：010-58528757</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电子邮箱：yangyang@scdb.com.cn; chenhaoran@scdb.com.cn</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3.北京中关村科技担保有限公司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地址:北京市海淀区中关村南大街乙12号天作国际大厦A座28层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联系人：李玉春    手机：13910831169</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联系电话：010-59705232     传真：010-59705606</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sz w:val="24"/>
              </w:rPr>
              <w:t>电子邮箱：li_yuchu@126.com</w:t>
            </w:r>
          </w:p>
        </w:tc>
      </w:tr>
    </w:tbl>
    <w:p>
      <w:pPr>
        <w:spacing w:line="360" w:lineRule="auto"/>
        <w:rPr>
          <w:rFonts w:hAnsi="宋体"/>
          <w:sz w:val="24"/>
        </w:rPr>
      </w:pPr>
    </w:p>
    <w:p>
      <w:pPr>
        <w:pStyle w:val="3"/>
        <w:spacing w:before="0" w:line="360" w:lineRule="auto"/>
        <w:rPr>
          <w:rFonts w:hAnsi="宋体"/>
          <w:szCs w:val="28"/>
        </w:rPr>
      </w:pPr>
      <w:r>
        <w:rPr>
          <w:rFonts w:hAnsi="宋体"/>
          <w:sz w:val="24"/>
          <w:szCs w:val="24"/>
          <w:lang w:val="en-US"/>
        </w:rPr>
        <w:br w:type="page"/>
      </w:r>
      <w:bookmarkStart w:id="49" w:name="_Toc310195692"/>
      <w:bookmarkStart w:id="50" w:name="_Toc40110891"/>
      <w:bookmarkStart w:id="51" w:name="_Toc5895166"/>
      <w:bookmarkStart w:id="52" w:name="_Toc19450"/>
      <w:bookmarkStart w:id="53" w:name="_Toc418"/>
      <w:r>
        <w:rPr>
          <w:rFonts w:hint="eastAsia" w:hAnsi="宋体"/>
          <w:szCs w:val="28"/>
        </w:rPr>
        <w:t>第三章 投标人须知</w:t>
      </w:r>
      <w:bookmarkEnd w:id="49"/>
      <w:bookmarkEnd w:id="50"/>
      <w:bookmarkEnd w:id="51"/>
      <w:bookmarkEnd w:id="52"/>
      <w:bookmarkEnd w:id="53"/>
    </w:p>
    <w:p>
      <w:pPr>
        <w:pStyle w:val="6"/>
        <w:spacing w:line="360" w:lineRule="auto"/>
        <w:ind w:left="899" w:hanging="899"/>
        <w:jc w:val="center"/>
        <w:rPr>
          <w:rFonts w:hint="default"/>
          <w:sz w:val="28"/>
          <w:szCs w:val="28"/>
        </w:rPr>
      </w:pPr>
      <w:bookmarkStart w:id="54" w:name="_Toc10416"/>
      <w:bookmarkStart w:id="55" w:name="_Toc12192"/>
      <w:bookmarkStart w:id="56" w:name="_Toc520356143"/>
      <w:bookmarkStart w:id="57" w:name="_Toc310195693"/>
      <w:bookmarkStart w:id="58" w:name="_Toc5895167"/>
      <w:bookmarkStart w:id="59" w:name="_Toc40110892"/>
      <w:bookmarkStart w:id="60" w:name="_Toc324255539"/>
      <w:r>
        <w:rPr>
          <w:sz w:val="28"/>
          <w:szCs w:val="28"/>
        </w:rPr>
        <w:t>一 说明</w:t>
      </w:r>
      <w:bookmarkEnd w:id="54"/>
      <w:bookmarkEnd w:id="55"/>
      <w:bookmarkEnd w:id="56"/>
      <w:bookmarkEnd w:id="57"/>
      <w:bookmarkEnd w:id="58"/>
      <w:bookmarkEnd w:id="59"/>
    </w:p>
    <w:p>
      <w:pPr>
        <w:pStyle w:val="6"/>
        <w:spacing w:line="360" w:lineRule="auto"/>
        <w:ind w:right="105" w:rightChars="50"/>
        <w:jc w:val="both"/>
        <w:rPr>
          <w:rFonts w:hint="default"/>
          <w:b/>
          <w:sz w:val="24"/>
        </w:rPr>
      </w:pPr>
      <w:bookmarkStart w:id="61" w:name="_Toc5895168"/>
      <w:bookmarkStart w:id="62" w:name="_Toc6273"/>
      <w:bookmarkStart w:id="63" w:name="_Toc40110893"/>
      <w:r>
        <w:rPr>
          <w:b/>
          <w:sz w:val="24"/>
        </w:rPr>
        <w:t>1.采购人、采购代理机构及合格的投标人</w:t>
      </w:r>
      <w:bookmarkEnd w:id="60"/>
      <w:bookmarkEnd w:id="61"/>
      <w:bookmarkEnd w:id="62"/>
      <w:bookmarkEnd w:id="63"/>
    </w:p>
    <w:p>
      <w:pPr>
        <w:pStyle w:val="27"/>
        <w:spacing w:line="360" w:lineRule="auto"/>
        <w:rPr>
          <w:rFonts w:ascii="宋体" w:hAnsi="宋体"/>
          <w:sz w:val="24"/>
        </w:rPr>
      </w:pPr>
      <w:r>
        <w:rPr>
          <w:rFonts w:hint="eastAsia" w:ascii="宋体" w:hAnsi="宋体"/>
          <w:sz w:val="24"/>
        </w:rPr>
        <w:t>1.1 采购人：指依法进行政府采购的国家机关、事业单位、团体组织。本项目采购人为华北电力大学。</w:t>
      </w:r>
    </w:p>
    <w:p>
      <w:pPr>
        <w:pStyle w:val="27"/>
        <w:spacing w:line="360" w:lineRule="auto"/>
        <w:rPr>
          <w:rFonts w:ascii="宋体" w:hAnsi="宋体"/>
          <w:sz w:val="24"/>
        </w:rPr>
      </w:pPr>
      <w:r>
        <w:rPr>
          <w:rFonts w:hint="eastAsia" w:ascii="宋体" w:hAnsi="宋体"/>
          <w:sz w:val="24"/>
        </w:rPr>
        <w:t>1.2 采购代理机构：受采购人委托，组织本次招标活动的采购代理机构。本项目的采购代理机构为华采招标集团有限公司。</w:t>
      </w:r>
    </w:p>
    <w:p>
      <w:pPr>
        <w:pStyle w:val="27"/>
        <w:spacing w:line="360" w:lineRule="auto"/>
        <w:rPr>
          <w:rFonts w:ascii="宋体" w:hAnsi="宋体"/>
          <w:sz w:val="24"/>
        </w:rPr>
      </w:pPr>
      <w:r>
        <w:rPr>
          <w:rFonts w:hint="eastAsia" w:ascii="宋体" w:hAnsi="宋体"/>
          <w:sz w:val="24"/>
        </w:rPr>
        <w:t>1.3 合格的投标人</w:t>
      </w:r>
    </w:p>
    <w:p>
      <w:pPr>
        <w:pStyle w:val="27"/>
        <w:spacing w:line="360" w:lineRule="auto"/>
        <w:rPr>
          <w:rFonts w:ascii="宋体" w:hAnsi="宋体"/>
          <w:sz w:val="24"/>
        </w:rPr>
      </w:pPr>
      <w:r>
        <w:rPr>
          <w:rFonts w:hint="eastAsia" w:ascii="宋体" w:hAnsi="宋体"/>
          <w:sz w:val="24"/>
        </w:rPr>
        <w:t>1.3.1</w:t>
      </w:r>
      <w:r>
        <w:rPr>
          <w:rFonts w:ascii="宋体" w:hAnsi="宋体"/>
          <w:sz w:val="24"/>
        </w:rPr>
        <w:t>符合第一章投标邀请中“投标人资格</w:t>
      </w:r>
      <w:r>
        <w:rPr>
          <w:rFonts w:hint="eastAsia" w:ascii="宋体" w:hAnsi="宋体"/>
          <w:sz w:val="24"/>
        </w:rPr>
        <w:t>要求</w:t>
      </w:r>
      <w:r>
        <w:rPr>
          <w:rFonts w:ascii="宋体" w:hAnsi="宋体"/>
          <w:sz w:val="24"/>
        </w:rPr>
        <w:t>”规定的</w:t>
      </w:r>
      <w:r>
        <w:rPr>
          <w:rFonts w:hint="eastAsia" w:ascii="宋体" w:hAnsi="宋体"/>
          <w:sz w:val="24"/>
        </w:rPr>
        <w:t>内容</w:t>
      </w:r>
      <w:r>
        <w:rPr>
          <w:rFonts w:ascii="宋体" w:hAnsi="宋体"/>
          <w:sz w:val="24"/>
        </w:rPr>
        <w:t>；</w:t>
      </w:r>
    </w:p>
    <w:p>
      <w:pPr>
        <w:pStyle w:val="27"/>
        <w:spacing w:line="360" w:lineRule="auto"/>
        <w:rPr>
          <w:rFonts w:ascii="宋体" w:hAnsi="宋体"/>
          <w:sz w:val="24"/>
        </w:rPr>
      </w:pPr>
      <w:r>
        <w:rPr>
          <w:rFonts w:hint="eastAsia" w:ascii="宋体" w:hAnsi="宋体"/>
          <w:sz w:val="24"/>
        </w:rPr>
        <w:t>1.3.2</w:t>
      </w:r>
      <w:r>
        <w:rPr>
          <w:rFonts w:ascii="宋体" w:hAnsi="宋体"/>
          <w:sz w:val="24"/>
        </w:rPr>
        <w:t>投标人必须向采购代理机构购买招标文件并登记备案，未向</w:t>
      </w:r>
      <w:r>
        <w:rPr>
          <w:rFonts w:hint="eastAsia" w:ascii="宋体" w:hAnsi="宋体"/>
          <w:sz w:val="24"/>
        </w:rPr>
        <w:t>采购代理机构</w:t>
      </w:r>
      <w:r>
        <w:rPr>
          <w:rFonts w:ascii="宋体" w:hAnsi="宋体"/>
          <w:sz w:val="24"/>
        </w:rPr>
        <w:t>购买招标文件并登记备案的无资格参加本次投标。</w:t>
      </w:r>
    </w:p>
    <w:p>
      <w:pPr>
        <w:pStyle w:val="27"/>
        <w:spacing w:line="360" w:lineRule="auto"/>
        <w:rPr>
          <w:rFonts w:ascii="宋体" w:hAnsi="宋体"/>
          <w:sz w:val="24"/>
        </w:rPr>
      </w:pPr>
      <w:r>
        <w:rPr>
          <w:rFonts w:hint="eastAsia" w:ascii="宋体" w:hAnsi="宋体"/>
          <w:sz w:val="24"/>
        </w:rPr>
        <w:t>1.3.3如投标人须知资料表中允许联合体投标，对联合体规定如下：</w:t>
      </w:r>
    </w:p>
    <w:p>
      <w:pPr>
        <w:pStyle w:val="27"/>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1两个以上的自然人、法人或者其他组织可以组成一个联合体，以一个投标人的身份共同参加政府采购。</w:t>
      </w:r>
    </w:p>
    <w:p>
      <w:pPr>
        <w:pStyle w:val="27"/>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2以联合体形式参加政府采购活动的，参加联合体的各方投标人均应当具备《中华人民共和国政府采购法》第二十二条规定的条件。</w:t>
      </w:r>
    </w:p>
    <w:p>
      <w:pPr>
        <w:pStyle w:val="27"/>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3采购人根据采购项目对投标人的特殊要求，联合体中至少应当有一方符合其规定。</w:t>
      </w:r>
    </w:p>
    <w:p>
      <w:pPr>
        <w:pStyle w:val="27"/>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4联合体各方应签订联合协议，载明联合体各方承担的工作和义务，联合体各方应当共同与采购人签订采购合同，就采购合同约定的事项对采购人承担连带责任。</w:t>
      </w:r>
    </w:p>
    <w:p>
      <w:pPr>
        <w:pStyle w:val="27"/>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5大中型企业和其他自然人、法人或者其他组织与小型、微型企业组成联合体共同参加投标，联合协议中应写明小型、微型企业的协议合同金额占到联合协议合同总金额的比例。联合协议中约定，小型、微型企业的协议合同金额占到联合体协议合同总金额30%以上的，可给予联合体相应幅度的价格扣除。联合体各方均为小型、微型企业的，联合体视同为小型、微型企业。</w:t>
      </w:r>
    </w:p>
    <w:p>
      <w:pPr>
        <w:pStyle w:val="27"/>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6联合体各方签订联合协议后，不得再以自己名义单独在同一项目中投标，也不得组成新的联合体参加同一项目投标。</w:t>
      </w:r>
    </w:p>
    <w:p>
      <w:pPr>
        <w:tabs>
          <w:tab w:val="left" w:pos="4725"/>
        </w:tabs>
        <w:adjustRightInd w:val="0"/>
        <w:snapToGrid w:val="0"/>
        <w:spacing w:line="360" w:lineRule="auto"/>
        <w:rPr>
          <w:rFonts w:asciiTheme="minorEastAsia" w:hAnsiTheme="minorEastAsia" w:eastAsiaTheme="minorEastAsia"/>
          <w:sz w:val="24"/>
        </w:rPr>
      </w:pPr>
      <w:r>
        <w:rPr>
          <w:rFonts w:hint="eastAsia" w:ascii="宋体" w:hAnsi="宋体"/>
          <w:sz w:val="24"/>
        </w:rPr>
        <w:t>1</w:t>
      </w:r>
      <w:r>
        <w:rPr>
          <w:rFonts w:ascii="宋体" w:hAnsi="宋体"/>
          <w:sz w:val="24"/>
        </w:rPr>
        <w:t>.3.</w:t>
      </w:r>
      <w:r>
        <w:rPr>
          <w:rFonts w:hint="eastAsia" w:ascii="宋体" w:hAnsi="宋体"/>
          <w:sz w:val="24"/>
        </w:rPr>
        <w:t>4</w:t>
      </w:r>
      <w:r>
        <w:rPr>
          <w:rFonts w:asciiTheme="minorEastAsia" w:hAnsiTheme="minorEastAsia" w:eastAsiaTheme="minorEastAsia"/>
          <w:sz w:val="24"/>
        </w:rPr>
        <w:t>信用信息</w:t>
      </w:r>
      <w:r>
        <w:rPr>
          <w:rFonts w:hint="eastAsia" w:asciiTheme="minorEastAsia" w:hAnsiTheme="minorEastAsia" w:eastAsiaTheme="minorEastAsia"/>
          <w:sz w:val="24"/>
        </w:rPr>
        <w:t>查询渠道：“信用</w:t>
      </w:r>
      <w:r>
        <w:rPr>
          <w:rFonts w:asciiTheme="minorEastAsia" w:hAnsiTheme="minorEastAsia" w:eastAsiaTheme="minorEastAsia"/>
          <w:sz w:val="24"/>
        </w:rPr>
        <w:t>中国”</w:t>
      </w:r>
      <w:r>
        <w:rPr>
          <w:rFonts w:hint="eastAsia" w:asciiTheme="minorEastAsia" w:hAnsiTheme="minorEastAsia" w:eastAsiaTheme="minorEastAsia"/>
          <w:sz w:val="24"/>
        </w:rPr>
        <w:t>网站（www.creditchina.gov.cn）、中国政府采购网（</w:t>
      </w:r>
      <w:r>
        <w:fldChar w:fldCharType="begin"/>
      </w:r>
      <w:r>
        <w:instrText xml:space="preserve"> HYPERLINK "http://www.ccgp.gov.cn" </w:instrText>
      </w:r>
      <w:r>
        <w:fldChar w:fldCharType="separate"/>
      </w:r>
      <w:r>
        <w:rPr>
          <w:rFonts w:hint="eastAsia" w:asciiTheme="minorEastAsia" w:hAnsiTheme="minorEastAsia" w:eastAsiaTheme="minorEastAsia"/>
          <w:sz w:val="24"/>
        </w:rPr>
        <w:t>www.ccgp.gov.cn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信用信息</w:t>
      </w:r>
      <w:r>
        <w:rPr>
          <w:rFonts w:hint="eastAsia" w:asciiTheme="minorEastAsia" w:hAnsiTheme="minorEastAsia" w:eastAsiaTheme="minorEastAsia"/>
          <w:sz w:val="24"/>
        </w:rPr>
        <w:t>查询截止时点：</w:t>
      </w:r>
      <w:r>
        <w:rPr>
          <w:rFonts w:hint="eastAsia" w:ascii="宋体" w:hAnsi="宋体"/>
          <w:sz w:val="24"/>
        </w:rPr>
        <w:t>递交投标文件截止日</w:t>
      </w:r>
      <w:r>
        <w:rPr>
          <w:rFonts w:hint="eastAsia" w:asciiTheme="minorEastAsia" w:hAnsiTheme="minorEastAsia" w:eastAsiaTheme="minorEastAsia"/>
          <w:sz w:val="24"/>
        </w:rPr>
        <w:t>。</w:t>
      </w:r>
    </w:p>
    <w:p>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信用信息查询记录和证据留存的具体方式：采购代理机构开标后查询结果页面打印并</w:t>
      </w:r>
      <w:r>
        <w:rPr>
          <w:rFonts w:hint="eastAsia" w:ascii="宋体" w:hAnsi="宋体"/>
          <w:sz w:val="24"/>
        </w:rPr>
        <w:t>与其他采购文件一并保存</w:t>
      </w:r>
      <w:r>
        <w:rPr>
          <w:rFonts w:hint="eastAsia" w:asciiTheme="minorEastAsia" w:hAnsiTheme="minorEastAsia" w:eastAsiaTheme="minorEastAsia"/>
          <w:sz w:val="24"/>
        </w:rPr>
        <w:t>。</w:t>
      </w:r>
    </w:p>
    <w:p>
      <w:pPr>
        <w:pStyle w:val="19"/>
        <w:spacing w:before="0" w:after="0" w:line="360" w:lineRule="auto"/>
        <w:ind w:left="0" w:leftChars="0" w:firstLine="480"/>
        <w:rPr>
          <w:sz w:val="24"/>
          <w:szCs w:val="24"/>
          <w:lang w:val="en-US"/>
        </w:rPr>
      </w:pPr>
      <w:r>
        <w:rPr>
          <w:rFonts w:hint="eastAsia"/>
          <w:sz w:val="24"/>
          <w:szCs w:val="24"/>
          <w:lang w:val="en-US"/>
        </w:rPr>
        <w:t>信用信息的使用规则：对信用记录查询结果显示被列入失信被执行人、重大税收违法案件当事人名单、政府采购严重违法失信行为记录名单及其他不符合《中华人民共和国政府采购法》第二十二条规定条件的供应商，禁止参加政府采购活动的时间按处罚结果执行。</w:t>
      </w:r>
    </w:p>
    <w:p>
      <w:pPr>
        <w:tabs>
          <w:tab w:val="left" w:pos="4725"/>
        </w:tabs>
        <w:adjustRightInd w:val="0"/>
        <w:snapToGrid w:val="0"/>
        <w:spacing w:line="360" w:lineRule="auto"/>
        <w:ind w:firstLine="480" w:firstLineChars="200"/>
      </w:pPr>
      <w:r>
        <w:rPr>
          <w:rFonts w:hint="eastAsia" w:asciiTheme="minorEastAsia" w:hAnsiTheme="minorEastAsia" w:eastAsiaTheme="minorEastAsia"/>
          <w:sz w:val="24"/>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7"/>
        <w:spacing w:line="360" w:lineRule="auto"/>
        <w:rPr>
          <w:rFonts w:ascii="宋体" w:hAnsi="宋体"/>
          <w:sz w:val="24"/>
        </w:rPr>
      </w:pPr>
      <w:r>
        <w:rPr>
          <w:rFonts w:hint="eastAsia" w:ascii="宋体" w:hAnsi="宋体"/>
          <w:sz w:val="24"/>
        </w:rPr>
        <w:t>1.3.5本项目是否接受进口产品：详见投标人须知资料表。</w:t>
      </w:r>
    </w:p>
    <w:p>
      <w:pPr>
        <w:pStyle w:val="27"/>
        <w:spacing w:line="360" w:lineRule="auto"/>
        <w:rPr>
          <w:rFonts w:ascii="宋体" w:hAnsi="宋体"/>
          <w:sz w:val="24"/>
        </w:rPr>
      </w:pPr>
      <w:r>
        <w:rPr>
          <w:rFonts w:ascii="宋体" w:hAnsi="宋体"/>
          <w:sz w:val="24"/>
        </w:rPr>
        <w:t>1.3.</w:t>
      </w:r>
      <w:r>
        <w:rPr>
          <w:rFonts w:hint="eastAsia" w:ascii="宋体" w:hAnsi="宋体"/>
          <w:sz w:val="24"/>
        </w:rPr>
        <w:t>6若投标人须知资料表中写明专门面向中、小、微型企业、监狱、戒毒企业或残疾人福利性单位或支持脱贫采购的，如投标人所投服务为非中小企业服务、监狱、戒毒企业、残疾人福利性单位或支持脱贫采购的，则其投标无效。</w:t>
      </w:r>
    </w:p>
    <w:p>
      <w:pPr>
        <w:pStyle w:val="27"/>
        <w:spacing w:line="360" w:lineRule="auto"/>
        <w:rPr>
          <w:rFonts w:ascii="宋体" w:hAnsi="宋体"/>
          <w:sz w:val="24"/>
        </w:rPr>
      </w:pPr>
      <w:r>
        <w:rPr>
          <w:rFonts w:hint="eastAsia" w:ascii="宋体" w:hAnsi="宋体"/>
          <w:sz w:val="24"/>
        </w:rPr>
        <w:t>1.4凡为本次采购项目提供整体设计、规范编制或者项目管理、监理、检测等服务的投标人，不得再参加该采购项目的其他采购活动。</w:t>
      </w:r>
    </w:p>
    <w:p>
      <w:pPr>
        <w:pStyle w:val="27"/>
        <w:spacing w:line="360" w:lineRule="auto"/>
        <w:rPr>
          <w:rFonts w:ascii="宋体" w:hAnsi="宋体"/>
          <w:sz w:val="24"/>
        </w:rPr>
      </w:pPr>
      <w:r>
        <w:rPr>
          <w:rFonts w:hint="eastAsia" w:ascii="宋体" w:hAnsi="宋体"/>
          <w:sz w:val="24"/>
        </w:rPr>
        <w:t>1.5凡法律或财务上不能独立合法经营，或在法律、财务上不能独立于本项目采购人、采购代理机构的任何机构，不得参加投标。</w:t>
      </w:r>
    </w:p>
    <w:p>
      <w:pPr>
        <w:pStyle w:val="6"/>
        <w:spacing w:line="360" w:lineRule="auto"/>
        <w:rPr>
          <w:rFonts w:hint="default"/>
          <w:b/>
          <w:sz w:val="24"/>
        </w:rPr>
      </w:pPr>
      <w:bookmarkStart w:id="64" w:name="_Toc310195695"/>
      <w:bookmarkStart w:id="65" w:name="_Toc40110894"/>
      <w:bookmarkStart w:id="66" w:name="_Toc324255540"/>
      <w:bookmarkStart w:id="67" w:name="_Toc21266"/>
      <w:bookmarkStart w:id="68" w:name="_Toc5895169"/>
      <w:r>
        <w:rPr>
          <w:b/>
          <w:sz w:val="24"/>
        </w:rPr>
        <w:t>2.资金来源</w:t>
      </w:r>
      <w:bookmarkEnd w:id="64"/>
      <w:bookmarkEnd w:id="65"/>
      <w:bookmarkEnd w:id="66"/>
      <w:bookmarkEnd w:id="67"/>
      <w:bookmarkEnd w:id="68"/>
    </w:p>
    <w:p>
      <w:pPr>
        <w:pStyle w:val="27"/>
        <w:spacing w:line="360" w:lineRule="auto"/>
        <w:rPr>
          <w:rFonts w:ascii="宋体" w:hAnsi="宋体"/>
          <w:sz w:val="24"/>
        </w:rPr>
      </w:pPr>
      <w:bookmarkStart w:id="69" w:name="_Toc520356145"/>
      <w:bookmarkStart w:id="70" w:name="_Toc310195696"/>
      <w:r>
        <w:rPr>
          <w:rFonts w:ascii="宋体" w:hAnsi="宋体"/>
          <w:sz w:val="24"/>
        </w:rPr>
        <w:t>2.1</w:t>
      </w:r>
      <w:r>
        <w:rPr>
          <w:rFonts w:hint="eastAsia" w:ascii="宋体" w:hAnsi="宋体"/>
          <w:sz w:val="24"/>
        </w:rPr>
        <w:t>资金性质：详见投标人须知资料表。</w:t>
      </w:r>
    </w:p>
    <w:p>
      <w:pPr>
        <w:pStyle w:val="27"/>
        <w:spacing w:line="360" w:lineRule="auto"/>
        <w:rPr>
          <w:rFonts w:ascii="宋体" w:hAnsi="宋体"/>
          <w:sz w:val="24"/>
        </w:rPr>
      </w:pPr>
      <w:r>
        <w:rPr>
          <w:rFonts w:hint="eastAsia" w:ascii="宋体" w:hAnsi="宋体"/>
          <w:sz w:val="24"/>
        </w:rPr>
        <w:t>2.2 本项目预算金额：详见投标人须知资料表。</w:t>
      </w:r>
    </w:p>
    <w:p>
      <w:pPr>
        <w:pStyle w:val="6"/>
        <w:spacing w:line="360" w:lineRule="auto"/>
        <w:rPr>
          <w:rFonts w:hint="default"/>
          <w:b/>
          <w:sz w:val="24"/>
        </w:rPr>
      </w:pPr>
      <w:bookmarkStart w:id="71" w:name="_Toc324255541"/>
      <w:bookmarkStart w:id="72" w:name="_Toc5895170"/>
      <w:bookmarkStart w:id="73" w:name="_Toc40110895"/>
      <w:bookmarkStart w:id="74" w:name="_Toc6787"/>
      <w:r>
        <w:rPr>
          <w:b/>
          <w:sz w:val="24"/>
        </w:rPr>
        <w:t>3.投标费用</w:t>
      </w:r>
      <w:bookmarkEnd w:id="69"/>
      <w:bookmarkEnd w:id="70"/>
      <w:bookmarkEnd w:id="71"/>
      <w:bookmarkEnd w:id="72"/>
      <w:bookmarkEnd w:id="73"/>
      <w:bookmarkEnd w:id="74"/>
    </w:p>
    <w:p>
      <w:pPr>
        <w:pStyle w:val="27"/>
        <w:spacing w:line="360" w:lineRule="auto"/>
        <w:rPr>
          <w:rFonts w:ascii="宋体" w:hAnsi="宋体"/>
          <w:sz w:val="24"/>
        </w:rPr>
      </w:pPr>
      <w:r>
        <w:rPr>
          <w:rFonts w:hint="eastAsia" w:ascii="宋体" w:hAnsi="宋体"/>
          <w:sz w:val="24"/>
        </w:rPr>
        <w:t>3.1 投标人应承担所有与准备和参加投标有关的费用。不论投标的结果如何，采购人和采购代理机构均无义务和责任承担这些费用。</w:t>
      </w:r>
    </w:p>
    <w:p>
      <w:pPr>
        <w:pStyle w:val="6"/>
        <w:spacing w:line="360" w:lineRule="auto"/>
        <w:ind w:left="901" w:hanging="899"/>
        <w:jc w:val="center"/>
        <w:rPr>
          <w:rFonts w:hint="default"/>
          <w:sz w:val="24"/>
        </w:rPr>
      </w:pPr>
      <w:bookmarkStart w:id="75" w:name="_Toc8018"/>
      <w:bookmarkStart w:id="76" w:name="_Toc40110896"/>
      <w:bookmarkStart w:id="77" w:name="_Toc310195697"/>
      <w:bookmarkStart w:id="78" w:name="_Toc520356146"/>
      <w:bookmarkStart w:id="79" w:name="_Toc24368"/>
      <w:bookmarkStart w:id="80" w:name="_Toc5895171"/>
      <w:r>
        <w:rPr>
          <w:sz w:val="24"/>
        </w:rPr>
        <w:t>二 招标文件</w:t>
      </w:r>
      <w:bookmarkEnd w:id="75"/>
      <w:bookmarkEnd w:id="76"/>
      <w:bookmarkEnd w:id="77"/>
      <w:bookmarkEnd w:id="78"/>
      <w:bookmarkEnd w:id="79"/>
      <w:bookmarkEnd w:id="80"/>
    </w:p>
    <w:p>
      <w:pPr>
        <w:pStyle w:val="6"/>
        <w:spacing w:line="360" w:lineRule="auto"/>
        <w:rPr>
          <w:rFonts w:hint="default"/>
          <w:b/>
          <w:sz w:val="24"/>
        </w:rPr>
      </w:pPr>
      <w:bookmarkStart w:id="81" w:name="_Toc5895172"/>
      <w:bookmarkStart w:id="82" w:name="_Toc520356147"/>
      <w:bookmarkStart w:id="83" w:name="_Toc40110897"/>
      <w:bookmarkStart w:id="84" w:name="_Toc310195698"/>
      <w:bookmarkStart w:id="85" w:name="_Toc32474"/>
      <w:r>
        <w:rPr>
          <w:b/>
          <w:sz w:val="24"/>
        </w:rPr>
        <w:t>4.招标文件构成</w:t>
      </w:r>
      <w:bookmarkEnd w:id="81"/>
      <w:bookmarkEnd w:id="82"/>
      <w:bookmarkEnd w:id="83"/>
      <w:bookmarkEnd w:id="84"/>
      <w:bookmarkEnd w:id="85"/>
    </w:p>
    <w:p>
      <w:pPr>
        <w:pStyle w:val="27"/>
        <w:spacing w:line="360" w:lineRule="auto"/>
        <w:rPr>
          <w:rFonts w:ascii="宋体" w:hAnsi="宋体"/>
          <w:sz w:val="24"/>
        </w:rPr>
      </w:pPr>
      <w:r>
        <w:rPr>
          <w:rFonts w:hint="eastAsia" w:ascii="宋体" w:hAnsi="宋体"/>
          <w:sz w:val="24"/>
        </w:rPr>
        <w:t>4.1 招标文件共七章，内容如下：</w:t>
      </w:r>
    </w:p>
    <w:p>
      <w:pPr>
        <w:pStyle w:val="27"/>
        <w:spacing w:line="360" w:lineRule="auto"/>
        <w:rPr>
          <w:rFonts w:ascii="宋体" w:hAnsi="宋体"/>
          <w:sz w:val="24"/>
        </w:rPr>
      </w:pPr>
      <w:r>
        <w:rPr>
          <w:rFonts w:hint="eastAsia" w:ascii="宋体" w:hAnsi="宋体"/>
          <w:sz w:val="24"/>
        </w:rPr>
        <w:t>第一章 投标邀请</w:t>
      </w:r>
    </w:p>
    <w:p>
      <w:pPr>
        <w:pStyle w:val="27"/>
        <w:spacing w:line="360" w:lineRule="auto"/>
        <w:rPr>
          <w:rFonts w:ascii="宋体" w:hAnsi="宋体"/>
          <w:sz w:val="24"/>
        </w:rPr>
      </w:pPr>
      <w:r>
        <w:rPr>
          <w:rFonts w:hint="eastAsia" w:ascii="宋体" w:hAnsi="宋体"/>
          <w:sz w:val="24"/>
        </w:rPr>
        <w:t>第二章 投标人须知资料表</w:t>
      </w:r>
    </w:p>
    <w:p>
      <w:pPr>
        <w:pStyle w:val="27"/>
        <w:spacing w:line="360" w:lineRule="auto"/>
        <w:rPr>
          <w:rFonts w:ascii="宋体" w:hAnsi="宋体"/>
          <w:sz w:val="24"/>
        </w:rPr>
      </w:pPr>
      <w:r>
        <w:rPr>
          <w:rFonts w:hint="eastAsia" w:ascii="宋体" w:hAnsi="宋体"/>
          <w:sz w:val="24"/>
        </w:rPr>
        <w:t>第三章 投标人须知</w:t>
      </w:r>
    </w:p>
    <w:p>
      <w:pPr>
        <w:pStyle w:val="27"/>
        <w:spacing w:line="360" w:lineRule="auto"/>
        <w:rPr>
          <w:rFonts w:ascii="宋体" w:hAnsi="宋体"/>
          <w:sz w:val="24"/>
        </w:rPr>
      </w:pPr>
      <w:r>
        <w:rPr>
          <w:rFonts w:hint="eastAsia" w:ascii="宋体" w:hAnsi="宋体"/>
          <w:sz w:val="24"/>
        </w:rPr>
        <w:t>第四章 采购需求</w:t>
      </w:r>
    </w:p>
    <w:p>
      <w:pPr>
        <w:pStyle w:val="27"/>
        <w:spacing w:line="360" w:lineRule="auto"/>
        <w:rPr>
          <w:rFonts w:ascii="宋体" w:hAnsi="宋体"/>
          <w:sz w:val="24"/>
        </w:rPr>
      </w:pPr>
      <w:r>
        <w:rPr>
          <w:rFonts w:hint="eastAsia" w:ascii="宋体" w:hAnsi="宋体"/>
          <w:sz w:val="24"/>
        </w:rPr>
        <w:t>第五章 评标方法和评标标准</w:t>
      </w:r>
    </w:p>
    <w:p>
      <w:pPr>
        <w:pStyle w:val="27"/>
        <w:spacing w:line="360" w:lineRule="auto"/>
        <w:rPr>
          <w:rFonts w:ascii="宋体" w:hAnsi="宋体"/>
          <w:sz w:val="24"/>
        </w:rPr>
      </w:pPr>
      <w:r>
        <w:rPr>
          <w:rFonts w:hint="eastAsia" w:ascii="宋体" w:hAnsi="宋体"/>
          <w:sz w:val="24"/>
        </w:rPr>
        <w:t>第六章 政府采购合同</w:t>
      </w:r>
    </w:p>
    <w:p>
      <w:pPr>
        <w:pStyle w:val="27"/>
        <w:spacing w:line="360" w:lineRule="auto"/>
        <w:rPr>
          <w:rFonts w:ascii="宋体" w:hAnsi="宋体"/>
          <w:sz w:val="24"/>
        </w:rPr>
      </w:pPr>
      <w:r>
        <w:rPr>
          <w:rFonts w:hint="eastAsia" w:ascii="宋体" w:hAnsi="宋体"/>
          <w:sz w:val="24"/>
        </w:rPr>
        <w:t>第七章 投标文件格式</w:t>
      </w:r>
    </w:p>
    <w:p>
      <w:pPr>
        <w:pStyle w:val="27"/>
        <w:spacing w:line="360" w:lineRule="auto"/>
        <w:rPr>
          <w:rFonts w:ascii="宋体" w:hAnsi="宋体"/>
          <w:sz w:val="24"/>
        </w:rPr>
      </w:pPr>
      <w:r>
        <w:rPr>
          <w:rFonts w:hint="eastAsia" w:ascii="宋体" w:hAnsi="宋体"/>
          <w:sz w:val="24"/>
        </w:rPr>
        <w:t>4.2 投标人应认真阅读招标文件所有的事项、格式、条款和技术规范等。如投标人未对招标文件完全响应而产生的风险，由投标人自行承担。</w:t>
      </w:r>
    </w:p>
    <w:p>
      <w:pPr>
        <w:pStyle w:val="6"/>
        <w:spacing w:line="360" w:lineRule="auto"/>
        <w:rPr>
          <w:rFonts w:hint="default"/>
          <w:b/>
          <w:sz w:val="24"/>
        </w:rPr>
      </w:pPr>
      <w:bookmarkStart w:id="86" w:name="_Toc310195699"/>
      <w:bookmarkStart w:id="87" w:name="_Toc5895173"/>
      <w:bookmarkStart w:id="88" w:name="_Toc40110898"/>
      <w:bookmarkStart w:id="89" w:name="_Toc23228"/>
      <w:bookmarkStart w:id="90" w:name="_Toc520356148"/>
      <w:r>
        <w:rPr>
          <w:b/>
          <w:sz w:val="24"/>
        </w:rPr>
        <w:t>5.招标文件的澄清</w:t>
      </w:r>
      <w:bookmarkEnd w:id="86"/>
      <w:bookmarkEnd w:id="87"/>
      <w:bookmarkEnd w:id="88"/>
      <w:bookmarkEnd w:id="89"/>
      <w:bookmarkEnd w:id="90"/>
    </w:p>
    <w:p>
      <w:pPr>
        <w:pStyle w:val="27"/>
        <w:spacing w:line="360" w:lineRule="auto"/>
        <w:rPr>
          <w:rFonts w:ascii="宋体" w:hAnsi="宋体"/>
          <w:sz w:val="24"/>
        </w:rPr>
      </w:pPr>
      <w:r>
        <w:rPr>
          <w:rFonts w:hint="eastAsia" w:ascii="宋体" w:hAnsi="宋体"/>
          <w:sz w:val="24"/>
        </w:rPr>
        <w:t>5.1采购人或者采购代理机构可以对已发出的招标文件、资格预审文件、投标邀请书进行必要的澄清，但不得改变采购标的和资格条件。澄清应当在原公告发布媒体上发布澄清公告。澄清的内容为招标文件、资格预审文件、投标邀请书的组成部分。</w:t>
      </w:r>
    </w:p>
    <w:p>
      <w:pPr>
        <w:pStyle w:val="27"/>
        <w:spacing w:line="360" w:lineRule="auto"/>
        <w:rPr>
          <w:rFonts w:ascii="宋体" w:hAnsi="宋体"/>
          <w:sz w:val="24"/>
        </w:rPr>
      </w:pPr>
      <w:r>
        <w:rPr>
          <w:rFonts w:hint="eastAsia" w:ascii="宋体" w:hAnsi="宋体"/>
          <w:sz w:val="24"/>
        </w:rPr>
        <w:t>5.2澄清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7"/>
        <w:spacing w:line="360" w:lineRule="auto"/>
        <w:rPr>
          <w:rFonts w:ascii="宋体" w:hAnsi="宋体"/>
          <w:sz w:val="24"/>
        </w:rPr>
      </w:pPr>
      <w:r>
        <w:rPr>
          <w:rFonts w:hint="eastAsia" w:ascii="宋体" w:hAnsi="宋体"/>
          <w:sz w:val="24"/>
        </w:rPr>
        <w:t>5.3澄清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r>
        <w:rPr>
          <w:rFonts w:ascii="宋体" w:hAnsi="宋体"/>
          <w:sz w:val="24"/>
        </w:rPr>
        <w:t>。</w:t>
      </w:r>
    </w:p>
    <w:p>
      <w:pPr>
        <w:pStyle w:val="6"/>
        <w:spacing w:line="360" w:lineRule="auto"/>
        <w:rPr>
          <w:rFonts w:hint="default"/>
          <w:b/>
          <w:sz w:val="24"/>
        </w:rPr>
      </w:pPr>
      <w:bookmarkStart w:id="91" w:name="_Ref467378678"/>
      <w:bookmarkStart w:id="92" w:name="_Toc310195700"/>
      <w:bookmarkStart w:id="93" w:name="_Toc520356149"/>
      <w:bookmarkStart w:id="94" w:name="_Toc40110899"/>
      <w:bookmarkStart w:id="95" w:name="_Toc19112"/>
      <w:bookmarkStart w:id="96" w:name="_Toc5895174"/>
      <w:r>
        <w:rPr>
          <w:b/>
          <w:sz w:val="24"/>
        </w:rPr>
        <w:t>6.招标文件的修改</w:t>
      </w:r>
      <w:bookmarkEnd w:id="91"/>
      <w:bookmarkEnd w:id="92"/>
      <w:bookmarkEnd w:id="93"/>
      <w:bookmarkEnd w:id="94"/>
      <w:bookmarkEnd w:id="95"/>
      <w:bookmarkEnd w:id="96"/>
    </w:p>
    <w:p>
      <w:pPr>
        <w:pStyle w:val="27"/>
        <w:spacing w:line="360" w:lineRule="auto"/>
        <w:rPr>
          <w:rFonts w:ascii="宋体" w:hAnsi="宋体"/>
          <w:sz w:val="24"/>
        </w:rPr>
      </w:pPr>
      <w:r>
        <w:rPr>
          <w:rFonts w:hint="eastAsia" w:ascii="宋体" w:hAnsi="宋体"/>
          <w:sz w:val="24"/>
        </w:rPr>
        <w:t>6.1采购人或者采购代理机构可以对已发出的招标文件、资格预审文件、投标邀请书进行必要的修改，但不得改变采购标的和资格条件。修改应当在原公告发布媒体上发布澄清公告。修改的内容为招标文件、资格预审文件、投标邀请书的组成部分。</w:t>
      </w:r>
    </w:p>
    <w:p>
      <w:pPr>
        <w:pStyle w:val="27"/>
        <w:spacing w:line="360" w:lineRule="auto"/>
        <w:rPr>
          <w:rFonts w:ascii="宋体" w:hAnsi="宋体"/>
          <w:sz w:val="24"/>
        </w:rPr>
      </w:pPr>
      <w:r>
        <w:rPr>
          <w:rFonts w:hint="eastAsia" w:ascii="宋体" w:hAnsi="宋体"/>
          <w:sz w:val="24"/>
        </w:rPr>
        <w:t>6.2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7"/>
        <w:spacing w:line="360" w:lineRule="auto"/>
        <w:rPr>
          <w:rFonts w:ascii="宋体" w:hAnsi="宋体"/>
          <w:sz w:val="24"/>
        </w:rPr>
      </w:pPr>
      <w:r>
        <w:rPr>
          <w:rFonts w:hint="eastAsia" w:ascii="宋体" w:hAnsi="宋体"/>
          <w:sz w:val="24"/>
        </w:rPr>
        <w:t>6.3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6"/>
        <w:spacing w:line="360" w:lineRule="auto"/>
        <w:ind w:left="899" w:hanging="899"/>
        <w:jc w:val="center"/>
        <w:rPr>
          <w:rFonts w:hint="default"/>
          <w:sz w:val="24"/>
        </w:rPr>
      </w:pPr>
      <w:bookmarkStart w:id="97" w:name="_Toc516367020"/>
      <w:bookmarkStart w:id="98" w:name="_Toc832"/>
      <w:bookmarkStart w:id="99" w:name="_Toc40110900"/>
      <w:bookmarkStart w:id="100" w:name="_Toc5022"/>
      <w:bookmarkStart w:id="101" w:name="_Toc310195701"/>
      <w:bookmarkStart w:id="102" w:name="_Toc520356150"/>
      <w:bookmarkStart w:id="103" w:name="_Toc5895175"/>
      <w:r>
        <w:rPr>
          <w:sz w:val="24"/>
        </w:rPr>
        <w:t>三 投标文件</w:t>
      </w:r>
      <w:bookmarkEnd w:id="97"/>
      <w:r>
        <w:rPr>
          <w:sz w:val="24"/>
        </w:rPr>
        <w:t>的编制</w:t>
      </w:r>
      <w:bookmarkEnd w:id="98"/>
      <w:bookmarkEnd w:id="99"/>
      <w:bookmarkEnd w:id="100"/>
      <w:bookmarkEnd w:id="101"/>
      <w:bookmarkEnd w:id="102"/>
      <w:bookmarkEnd w:id="103"/>
    </w:p>
    <w:p>
      <w:pPr>
        <w:pStyle w:val="6"/>
        <w:spacing w:line="360" w:lineRule="auto"/>
        <w:rPr>
          <w:rFonts w:hint="default"/>
          <w:b/>
          <w:sz w:val="24"/>
        </w:rPr>
      </w:pPr>
      <w:bookmarkStart w:id="104" w:name="_Toc17469"/>
      <w:bookmarkStart w:id="105" w:name="_Toc213818725"/>
      <w:bookmarkStart w:id="106" w:name="_Toc310195702"/>
      <w:bookmarkStart w:id="107" w:name="_Toc5895176"/>
      <w:bookmarkStart w:id="108" w:name="_Toc40110901"/>
      <w:bookmarkStart w:id="109" w:name="_Toc516367021"/>
      <w:bookmarkStart w:id="110" w:name="_Toc520356151"/>
      <w:r>
        <w:rPr>
          <w:b/>
          <w:sz w:val="24"/>
        </w:rPr>
        <w:t>7.投标文件编制的原则</w:t>
      </w:r>
      <w:bookmarkEnd w:id="104"/>
      <w:bookmarkEnd w:id="105"/>
      <w:bookmarkEnd w:id="106"/>
      <w:bookmarkEnd w:id="107"/>
      <w:bookmarkEnd w:id="108"/>
    </w:p>
    <w:p>
      <w:pPr>
        <w:pStyle w:val="27"/>
        <w:spacing w:line="360" w:lineRule="auto"/>
        <w:rPr>
          <w:rFonts w:ascii="宋体" w:hAnsi="宋体"/>
          <w:b/>
          <w:sz w:val="24"/>
        </w:rPr>
      </w:pPr>
      <w:r>
        <w:rPr>
          <w:rFonts w:hint="eastAsia" w:ascii="宋体" w:hAnsi="宋体"/>
          <w:sz w:val="24"/>
        </w:rPr>
        <w:t>7.1潜在投标人根据招标文件的要求，编制完整的投标文件。招标文件中对投标文件格式有要求的，应按格式逐项填写内容，不准有空项；无相应可填内容项应填写“无”、“不适用”等明确的文字回答。</w:t>
      </w:r>
    </w:p>
    <w:p>
      <w:pPr>
        <w:pStyle w:val="27"/>
        <w:spacing w:line="360" w:lineRule="auto"/>
      </w:pPr>
      <w:r>
        <w:rPr>
          <w:rFonts w:hint="eastAsia" w:ascii="宋体" w:hAnsi="宋体"/>
          <w:sz w:val="24"/>
        </w:rPr>
        <w:t>7.2 投标人必须保证投标文件所提供的全部资料真实有效。</w:t>
      </w:r>
    </w:p>
    <w:p>
      <w:pPr>
        <w:pStyle w:val="6"/>
        <w:tabs>
          <w:tab w:val="left" w:pos="900"/>
        </w:tabs>
        <w:spacing w:line="360" w:lineRule="auto"/>
        <w:rPr>
          <w:rFonts w:hint="default"/>
          <w:b/>
          <w:sz w:val="24"/>
        </w:rPr>
      </w:pPr>
      <w:bookmarkStart w:id="111" w:name="_Toc5895177"/>
      <w:bookmarkStart w:id="112" w:name="_Toc20167"/>
      <w:bookmarkStart w:id="113" w:name="_Toc310195703"/>
      <w:bookmarkStart w:id="114" w:name="_Toc40110902"/>
      <w:r>
        <w:rPr>
          <w:b/>
          <w:sz w:val="24"/>
        </w:rPr>
        <w:t>8.投标范围及投标文件中计量单位的使用</w:t>
      </w:r>
      <w:bookmarkEnd w:id="109"/>
      <w:bookmarkEnd w:id="110"/>
      <w:bookmarkEnd w:id="111"/>
      <w:bookmarkEnd w:id="112"/>
      <w:bookmarkEnd w:id="113"/>
      <w:bookmarkEnd w:id="114"/>
    </w:p>
    <w:p>
      <w:pPr>
        <w:pStyle w:val="27"/>
        <w:spacing w:line="360" w:lineRule="auto"/>
        <w:rPr>
          <w:rFonts w:ascii="宋体" w:hAnsi="宋体"/>
          <w:sz w:val="24"/>
        </w:rPr>
      </w:pPr>
      <w:r>
        <w:rPr>
          <w:rFonts w:hint="eastAsia" w:ascii="宋体" w:hAnsi="宋体"/>
          <w:sz w:val="24"/>
        </w:rPr>
        <w:t>8.1 投标人应对招标文件中“采购需求”所列的所有内容进行投标，不得缺项漏项。</w:t>
      </w:r>
    </w:p>
    <w:p>
      <w:pPr>
        <w:pStyle w:val="27"/>
        <w:spacing w:line="360" w:lineRule="auto"/>
        <w:rPr>
          <w:rFonts w:ascii="宋体" w:hAnsi="宋体"/>
          <w:sz w:val="24"/>
        </w:rPr>
      </w:pPr>
      <w:r>
        <w:rPr>
          <w:rFonts w:hint="eastAsia" w:ascii="宋体" w:hAnsi="宋体"/>
          <w:sz w:val="24"/>
        </w:rPr>
        <w:t>8.2 投标文件中所使用的计量单位，除招标文件中有特殊要求外，应采用中华人民共和国法定计量单位。</w:t>
      </w:r>
      <w:bookmarkStart w:id="115" w:name="_Toc516367022"/>
      <w:bookmarkStart w:id="116" w:name="_Ref467306195"/>
      <w:bookmarkStart w:id="117" w:name="_Ref467306676"/>
      <w:bookmarkStart w:id="118" w:name="_Toc520356152"/>
    </w:p>
    <w:p>
      <w:pPr>
        <w:pStyle w:val="6"/>
        <w:tabs>
          <w:tab w:val="left" w:pos="900"/>
        </w:tabs>
        <w:spacing w:line="360" w:lineRule="auto"/>
        <w:rPr>
          <w:rFonts w:hint="default"/>
        </w:rPr>
      </w:pPr>
      <w:bookmarkStart w:id="119" w:name="_Toc310195704"/>
      <w:bookmarkStart w:id="120" w:name="_Toc23844"/>
      <w:bookmarkStart w:id="121" w:name="_Toc40110903"/>
      <w:bookmarkStart w:id="122" w:name="_Toc5895178"/>
      <w:r>
        <w:rPr>
          <w:b/>
          <w:sz w:val="24"/>
        </w:rPr>
        <w:t>9.投标文件</w:t>
      </w:r>
      <w:bookmarkEnd w:id="115"/>
      <w:bookmarkEnd w:id="116"/>
      <w:bookmarkEnd w:id="117"/>
      <w:r>
        <w:rPr>
          <w:b/>
          <w:sz w:val="24"/>
        </w:rPr>
        <w:t>构成</w:t>
      </w:r>
      <w:bookmarkEnd w:id="118"/>
      <w:bookmarkEnd w:id="119"/>
      <w:bookmarkEnd w:id="120"/>
      <w:bookmarkEnd w:id="121"/>
      <w:bookmarkEnd w:id="122"/>
    </w:p>
    <w:p>
      <w:pPr>
        <w:pStyle w:val="27"/>
        <w:spacing w:line="360" w:lineRule="auto"/>
        <w:rPr>
          <w:rFonts w:ascii="宋体" w:hAnsi="宋体"/>
          <w:sz w:val="24"/>
        </w:rPr>
      </w:pPr>
      <w:r>
        <w:rPr>
          <w:rFonts w:hint="eastAsia" w:ascii="宋体" w:hAnsi="宋体"/>
          <w:sz w:val="24"/>
        </w:rPr>
        <w:t>9.1投标人应完整地按招标文件提供的投标文件格式编写投标文件，投标文件应包括以下内容：</w:t>
      </w:r>
    </w:p>
    <w:p>
      <w:pPr>
        <w:spacing w:before="120" w:line="360" w:lineRule="auto"/>
        <w:ind w:left="900" w:hanging="900"/>
        <w:rPr>
          <w:rFonts w:ascii="宋体" w:hAnsi="宋体"/>
          <w:sz w:val="24"/>
        </w:rPr>
      </w:pPr>
      <w:r>
        <w:rPr>
          <w:rFonts w:hint="eastAsia" w:ascii="宋体" w:hAnsi="宋体"/>
          <w:sz w:val="24"/>
        </w:rPr>
        <w:t>9.1.1投标文件资格册：</w:t>
      </w:r>
    </w:p>
    <w:p>
      <w:pPr>
        <w:spacing w:before="120" w:line="360" w:lineRule="auto"/>
        <w:ind w:left="900" w:hanging="900"/>
        <w:rPr>
          <w:rFonts w:ascii="宋体" w:hAnsi="宋体"/>
          <w:sz w:val="24"/>
        </w:rPr>
      </w:pPr>
      <w:r>
        <w:rPr>
          <w:rFonts w:hint="eastAsia" w:ascii="宋体" w:hAnsi="宋体"/>
          <w:sz w:val="24"/>
        </w:rPr>
        <w:t>详见《第七章 投标文件格式》</w:t>
      </w:r>
    </w:p>
    <w:p>
      <w:pPr>
        <w:spacing w:before="120" w:line="360" w:lineRule="auto"/>
        <w:ind w:left="900" w:hanging="900"/>
        <w:rPr>
          <w:rFonts w:ascii="宋体" w:hAnsi="宋体"/>
          <w:sz w:val="24"/>
        </w:rPr>
      </w:pPr>
      <w:r>
        <w:rPr>
          <w:rFonts w:hint="eastAsia" w:ascii="宋体" w:hAnsi="宋体"/>
          <w:sz w:val="24"/>
        </w:rPr>
        <w:t>9.1.2投标文件商务技术册应包括以下内容：</w:t>
      </w:r>
    </w:p>
    <w:p>
      <w:pPr>
        <w:spacing w:before="120" w:line="360" w:lineRule="auto"/>
        <w:ind w:left="909" w:leftChars="174" w:hanging="544" w:hangingChars="227"/>
        <w:rPr>
          <w:rFonts w:ascii="宋体" w:hAnsi="宋体"/>
          <w:sz w:val="24"/>
        </w:rPr>
      </w:pPr>
      <w:r>
        <w:rPr>
          <w:rFonts w:hint="eastAsia" w:ascii="宋体" w:hAnsi="宋体"/>
          <w:sz w:val="24"/>
        </w:rPr>
        <w:t>1 投标函</w:t>
      </w:r>
    </w:p>
    <w:p>
      <w:pPr>
        <w:spacing w:before="120" w:line="360" w:lineRule="auto"/>
        <w:ind w:left="909" w:leftChars="174" w:hanging="544" w:hangingChars="227"/>
        <w:rPr>
          <w:rFonts w:ascii="宋体" w:hAnsi="宋体"/>
          <w:sz w:val="24"/>
        </w:rPr>
      </w:pPr>
      <w:r>
        <w:rPr>
          <w:rFonts w:hint="eastAsia" w:ascii="宋体" w:hAnsi="宋体"/>
          <w:sz w:val="24"/>
        </w:rPr>
        <w:t>2 开标一览表</w:t>
      </w:r>
    </w:p>
    <w:p>
      <w:pPr>
        <w:spacing w:before="120" w:line="360" w:lineRule="auto"/>
        <w:ind w:left="909" w:leftChars="174" w:hanging="544" w:hangingChars="227"/>
        <w:rPr>
          <w:rFonts w:ascii="宋体" w:hAnsi="宋体"/>
          <w:sz w:val="24"/>
        </w:rPr>
      </w:pPr>
      <w:r>
        <w:rPr>
          <w:rFonts w:hint="eastAsia" w:ascii="宋体" w:hAnsi="宋体"/>
          <w:sz w:val="24"/>
        </w:rPr>
        <w:t>3 投标分项报价表</w:t>
      </w:r>
    </w:p>
    <w:p>
      <w:pPr>
        <w:spacing w:before="120" w:line="360" w:lineRule="auto"/>
        <w:ind w:left="909" w:leftChars="174" w:hanging="544" w:hangingChars="227"/>
        <w:rPr>
          <w:rFonts w:ascii="宋体" w:hAnsi="宋体"/>
          <w:sz w:val="24"/>
        </w:rPr>
      </w:pPr>
      <w:r>
        <w:rPr>
          <w:rFonts w:hint="eastAsia" w:ascii="宋体" w:hAnsi="宋体"/>
          <w:sz w:val="24"/>
        </w:rPr>
        <w:t>4 技术规格偏离表</w:t>
      </w:r>
    </w:p>
    <w:p>
      <w:pPr>
        <w:spacing w:before="120" w:line="360" w:lineRule="auto"/>
        <w:ind w:left="909" w:leftChars="174" w:hanging="544" w:hangingChars="227"/>
        <w:rPr>
          <w:rFonts w:ascii="宋体" w:hAnsi="宋体"/>
          <w:sz w:val="24"/>
        </w:rPr>
      </w:pPr>
      <w:r>
        <w:rPr>
          <w:rFonts w:hint="eastAsia" w:ascii="宋体" w:hAnsi="宋体"/>
          <w:sz w:val="24"/>
        </w:rPr>
        <w:t>5 商务条款偏离表</w:t>
      </w:r>
    </w:p>
    <w:p>
      <w:pPr>
        <w:spacing w:before="120" w:line="360" w:lineRule="auto"/>
        <w:ind w:left="909" w:leftChars="174" w:hanging="544" w:hangingChars="227"/>
        <w:rPr>
          <w:rFonts w:ascii="宋体" w:hAnsi="宋体"/>
          <w:sz w:val="24"/>
        </w:rPr>
      </w:pPr>
      <w:r>
        <w:rPr>
          <w:rFonts w:hint="eastAsia" w:ascii="宋体" w:hAnsi="宋体"/>
          <w:sz w:val="24"/>
        </w:rPr>
        <w:t>6 业绩案例一览表</w:t>
      </w:r>
    </w:p>
    <w:p>
      <w:pPr>
        <w:spacing w:before="120" w:line="360" w:lineRule="auto"/>
        <w:ind w:left="909" w:leftChars="174" w:hanging="544" w:hangingChars="227"/>
        <w:rPr>
          <w:rFonts w:ascii="宋体" w:hAnsi="宋体"/>
          <w:sz w:val="24"/>
        </w:rPr>
      </w:pPr>
      <w:r>
        <w:rPr>
          <w:rFonts w:hint="eastAsia" w:ascii="宋体" w:hAnsi="宋体"/>
          <w:sz w:val="24"/>
        </w:rPr>
        <w:t>7 投标人基本情况表</w:t>
      </w:r>
    </w:p>
    <w:p>
      <w:pPr>
        <w:spacing w:before="120" w:line="360" w:lineRule="auto"/>
        <w:ind w:left="909" w:leftChars="174" w:hanging="544" w:hangingChars="227"/>
        <w:rPr>
          <w:rFonts w:ascii="宋体" w:hAnsi="宋体"/>
          <w:sz w:val="24"/>
        </w:rPr>
      </w:pPr>
      <w:r>
        <w:rPr>
          <w:rFonts w:hint="eastAsia" w:ascii="宋体" w:hAnsi="宋体"/>
          <w:sz w:val="24"/>
        </w:rPr>
        <w:t>8 技术方案</w:t>
      </w:r>
    </w:p>
    <w:p>
      <w:pPr>
        <w:spacing w:before="120" w:line="360" w:lineRule="auto"/>
        <w:ind w:left="909" w:leftChars="174" w:hanging="544" w:hangingChars="227"/>
        <w:rPr>
          <w:rFonts w:ascii="宋体" w:hAnsi="宋体"/>
          <w:sz w:val="24"/>
        </w:rPr>
      </w:pPr>
      <w:r>
        <w:rPr>
          <w:rFonts w:hint="eastAsia" w:ascii="宋体" w:hAnsi="宋体"/>
          <w:sz w:val="24"/>
        </w:rPr>
        <w:t>9 售后服务及培训计划</w:t>
      </w:r>
    </w:p>
    <w:p>
      <w:pPr>
        <w:spacing w:before="120" w:line="360" w:lineRule="auto"/>
        <w:ind w:left="909" w:leftChars="174" w:hanging="544" w:hangingChars="227"/>
        <w:rPr>
          <w:rFonts w:ascii="宋体" w:hAnsi="宋体"/>
          <w:sz w:val="24"/>
        </w:rPr>
      </w:pPr>
      <w:r>
        <w:rPr>
          <w:rFonts w:hint="eastAsia" w:ascii="宋体" w:hAnsi="宋体"/>
          <w:sz w:val="24"/>
        </w:rPr>
        <w:t>10 提交投标保证金的证明材料</w:t>
      </w:r>
    </w:p>
    <w:p>
      <w:pPr>
        <w:spacing w:before="120" w:line="360" w:lineRule="auto"/>
        <w:ind w:left="909" w:leftChars="174" w:hanging="544" w:hangingChars="227"/>
        <w:rPr>
          <w:rFonts w:ascii="宋体" w:hAnsi="宋体"/>
          <w:sz w:val="24"/>
        </w:rPr>
      </w:pPr>
      <w:r>
        <w:rPr>
          <w:rFonts w:hint="eastAsia" w:ascii="宋体" w:hAnsi="宋体"/>
          <w:sz w:val="24"/>
        </w:rPr>
        <w:t>11 中标服务费承诺书</w:t>
      </w:r>
    </w:p>
    <w:p>
      <w:pPr>
        <w:spacing w:before="120" w:line="360" w:lineRule="auto"/>
        <w:ind w:left="909" w:leftChars="174" w:hanging="544" w:hangingChars="227"/>
        <w:rPr>
          <w:rFonts w:ascii="宋体" w:hAnsi="宋体"/>
          <w:sz w:val="24"/>
        </w:rPr>
      </w:pPr>
      <w:r>
        <w:rPr>
          <w:rFonts w:hint="eastAsia" w:ascii="宋体" w:hAnsi="宋体"/>
          <w:sz w:val="24"/>
          <w:lang w:val="en-GB"/>
        </w:rPr>
        <w:t>12</w:t>
      </w:r>
      <w:r>
        <w:rPr>
          <w:rFonts w:hint="eastAsia" w:ascii="宋体" w:hAnsi="宋体"/>
          <w:sz w:val="24"/>
        </w:rPr>
        <w:t xml:space="preserve"> 中小企业声明函（货物）</w:t>
      </w:r>
    </w:p>
    <w:p>
      <w:pPr>
        <w:spacing w:before="120" w:line="360" w:lineRule="auto"/>
        <w:ind w:left="909" w:leftChars="174" w:hanging="544" w:hangingChars="227"/>
        <w:rPr>
          <w:rFonts w:ascii="宋体" w:hAnsi="宋体"/>
          <w:sz w:val="24"/>
        </w:rPr>
      </w:pPr>
      <w:r>
        <w:rPr>
          <w:rFonts w:hint="eastAsia" w:ascii="宋体" w:hAnsi="宋体"/>
          <w:sz w:val="24"/>
        </w:rPr>
        <w:t>1</w:t>
      </w:r>
      <w:bookmarkStart w:id="123" w:name="_Toc520356153"/>
      <w:bookmarkStart w:id="124" w:name="_Toc310195705"/>
      <w:bookmarkStart w:id="125" w:name="_Toc516367023"/>
      <w:r>
        <w:rPr>
          <w:rFonts w:hint="eastAsia" w:ascii="宋体" w:hAnsi="宋体"/>
          <w:sz w:val="24"/>
        </w:rPr>
        <w:t>3 残疾人福利性单位声明函（如适用）</w:t>
      </w:r>
    </w:p>
    <w:p>
      <w:pPr>
        <w:spacing w:before="120" w:line="360" w:lineRule="auto"/>
        <w:ind w:left="909" w:leftChars="174" w:hanging="544" w:hangingChars="227"/>
        <w:rPr>
          <w:rFonts w:ascii="宋体" w:hAnsi="宋体"/>
          <w:sz w:val="24"/>
        </w:rPr>
      </w:pPr>
      <w:r>
        <w:rPr>
          <w:rFonts w:hint="eastAsia" w:ascii="宋体" w:hAnsi="宋体"/>
          <w:sz w:val="24"/>
        </w:rPr>
        <w:t>14 监狱、戒毒企业声明函（如适用）</w:t>
      </w:r>
    </w:p>
    <w:p>
      <w:pPr>
        <w:spacing w:before="120" w:line="360" w:lineRule="auto"/>
        <w:ind w:left="909" w:leftChars="174" w:hanging="544" w:hangingChars="227"/>
        <w:rPr>
          <w:rFonts w:ascii="宋体" w:hAnsi="宋体"/>
          <w:sz w:val="24"/>
        </w:rPr>
      </w:pPr>
      <w:r>
        <w:rPr>
          <w:rFonts w:hint="eastAsia" w:ascii="宋体" w:hAnsi="宋体"/>
          <w:sz w:val="24"/>
        </w:rPr>
        <w:t>15 投标人认为必要的其他证明文件</w:t>
      </w:r>
    </w:p>
    <w:p>
      <w:pPr>
        <w:pStyle w:val="6"/>
        <w:tabs>
          <w:tab w:val="left" w:pos="900"/>
        </w:tabs>
        <w:spacing w:line="360" w:lineRule="auto"/>
        <w:rPr>
          <w:rFonts w:hint="default"/>
          <w:b/>
          <w:sz w:val="24"/>
        </w:rPr>
      </w:pPr>
      <w:bookmarkStart w:id="126" w:name="_Toc40110904"/>
      <w:bookmarkStart w:id="127" w:name="_Toc5895179"/>
      <w:bookmarkStart w:id="128" w:name="_Toc24206"/>
      <w:r>
        <w:rPr>
          <w:b/>
          <w:sz w:val="24"/>
        </w:rPr>
        <w:t>10.</w:t>
      </w:r>
      <w:bookmarkEnd w:id="123"/>
      <w:bookmarkEnd w:id="124"/>
      <w:bookmarkEnd w:id="125"/>
      <w:r>
        <w:rPr>
          <w:b/>
          <w:sz w:val="24"/>
        </w:rPr>
        <w:t>投标文件格式</w:t>
      </w:r>
      <w:bookmarkEnd w:id="126"/>
      <w:bookmarkEnd w:id="127"/>
      <w:bookmarkEnd w:id="128"/>
      <w:bookmarkStart w:id="129" w:name="_Toc310195706"/>
      <w:bookmarkStart w:id="130" w:name="_Toc520356155"/>
    </w:p>
    <w:p>
      <w:pPr>
        <w:pStyle w:val="27"/>
        <w:spacing w:line="360" w:lineRule="auto"/>
        <w:rPr>
          <w:rFonts w:ascii="宋体" w:hAnsi="宋体"/>
          <w:sz w:val="24"/>
        </w:rPr>
      </w:pPr>
      <w:r>
        <w:rPr>
          <w:rFonts w:hint="eastAsia" w:ascii="宋体" w:hAnsi="宋体"/>
          <w:sz w:val="24"/>
        </w:rPr>
        <w:t>10.1</w:t>
      </w:r>
      <w:r>
        <w:rPr>
          <w:rFonts w:ascii="宋体" w:hAnsi="宋体"/>
          <w:sz w:val="24"/>
        </w:rPr>
        <w:t>投标人应按招标文件提供的投标文件格式</w:t>
      </w:r>
      <w:r>
        <w:rPr>
          <w:rFonts w:hint="eastAsia" w:ascii="宋体" w:hAnsi="宋体"/>
          <w:sz w:val="24"/>
        </w:rPr>
        <w:t>要求编写投标文件</w:t>
      </w:r>
      <w:r>
        <w:rPr>
          <w:rFonts w:ascii="宋体" w:hAnsi="宋体"/>
          <w:sz w:val="24"/>
        </w:rPr>
        <w:t>。</w:t>
      </w:r>
    </w:p>
    <w:p>
      <w:pPr>
        <w:pStyle w:val="27"/>
        <w:spacing w:line="360" w:lineRule="auto"/>
        <w:rPr>
          <w:rFonts w:ascii="宋体" w:hAnsi="宋体"/>
          <w:sz w:val="24"/>
        </w:rPr>
      </w:pPr>
      <w:r>
        <w:rPr>
          <w:rFonts w:hint="eastAsia" w:ascii="宋体" w:hAnsi="宋体"/>
          <w:sz w:val="24"/>
        </w:rPr>
        <w:t>10.2 招标文件中要求提供证明文件的，投标人应如实提交，该证明文件是投标文件的组成部分。</w:t>
      </w:r>
    </w:p>
    <w:p>
      <w:pPr>
        <w:spacing w:before="120" w:line="360" w:lineRule="auto"/>
        <w:ind w:left="900" w:hanging="900"/>
        <w:rPr>
          <w:rFonts w:ascii="宋体" w:hAnsi="宋体"/>
          <w:sz w:val="24"/>
        </w:rPr>
      </w:pPr>
      <w:bookmarkStart w:id="131" w:name="_Ref467306244"/>
      <w:r>
        <w:rPr>
          <w:rFonts w:hint="eastAsia" w:ascii="宋体" w:hAnsi="宋体"/>
          <w:sz w:val="24"/>
        </w:rPr>
        <w:t>10.3 上款所述的证明文件，包括：</w:t>
      </w:r>
    </w:p>
    <w:p>
      <w:pPr>
        <w:spacing w:before="120" w:line="360" w:lineRule="auto"/>
        <w:ind w:left="900" w:hanging="900"/>
        <w:rPr>
          <w:rFonts w:ascii="宋体" w:hAnsi="宋体"/>
          <w:sz w:val="24"/>
        </w:rPr>
      </w:pPr>
      <w:r>
        <w:rPr>
          <w:rFonts w:hint="eastAsia" w:ascii="宋体" w:hAnsi="宋体"/>
          <w:sz w:val="24"/>
        </w:rPr>
        <w:t>10.3.1文字资料、图纸和数据等；</w:t>
      </w:r>
      <w:bookmarkEnd w:id="131"/>
    </w:p>
    <w:p>
      <w:pPr>
        <w:spacing w:before="120" w:line="360" w:lineRule="auto"/>
        <w:ind w:left="900" w:hanging="900"/>
        <w:rPr>
          <w:rFonts w:ascii="宋体" w:hAnsi="宋体"/>
          <w:sz w:val="24"/>
        </w:rPr>
      </w:pPr>
      <w:r>
        <w:rPr>
          <w:rFonts w:hint="eastAsia" w:ascii="宋体" w:hAnsi="宋体"/>
          <w:sz w:val="24"/>
        </w:rPr>
        <w:t>10.3.2服务主要技术指标和性能的详细说明；</w:t>
      </w:r>
    </w:p>
    <w:p>
      <w:pPr>
        <w:spacing w:before="120" w:line="360" w:lineRule="auto"/>
        <w:rPr>
          <w:rFonts w:ascii="宋体" w:hAnsi="宋体"/>
          <w:sz w:val="24"/>
        </w:rPr>
      </w:pPr>
      <w:r>
        <w:rPr>
          <w:rFonts w:hint="eastAsia" w:ascii="宋体" w:hAnsi="宋体"/>
          <w:sz w:val="24"/>
        </w:rPr>
        <w:t>10.3.3服务所必须的备品备件和专用工具清单；</w:t>
      </w:r>
    </w:p>
    <w:p>
      <w:pPr>
        <w:spacing w:before="120" w:line="360" w:lineRule="auto"/>
        <w:rPr>
          <w:rFonts w:ascii="宋体" w:hAnsi="宋体"/>
          <w:sz w:val="24"/>
        </w:rPr>
      </w:pPr>
      <w:r>
        <w:rPr>
          <w:rFonts w:hint="eastAsia" w:ascii="宋体" w:hAnsi="宋体"/>
          <w:sz w:val="24"/>
        </w:rPr>
        <w:t>10.3.4 投标文件中《技术规格偏离表》、《商务条款偏离表》须如实填写。</w:t>
      </w:r>
    </w:p>
    <w:p>
      <w:pPr>
        <w:pStyle w:val="6"/>
        <w:tabs>
          <w:tab w:val="left" w:pos="900"/>
        </w:tabs>
        <w:spacing w:line="360" w:lineRule="auto"/>
        <w:rPr>
          <w:rFonts w:hint="default"/>
          <w:b/>
          <w:sz w:val="24"/>
        </w:rPr>
      </w:pPr>
      <w:bookmarkStart w:id="132" w:name="_Toc5895180"/>
      <w:bookmarkStart w:id="133" w:name="_Toc40110905"/>
      <w:bookmarkStart w:id="134" w:name="_Toc29057"/>
      <w:r>
        <w:rPr>
          <w:b/>
          <w:sz w:val="24"/>
        </w:rPr>
        <w:t>11.投标报价</w:t>
      </w:r>
      <w:bookmarkEnd w:id="129"/>
      <w:bookmarkEnd w:id="130"/>
      <w:bookmarkEnd w:id="132"/>
      <w:bookmarkEnd w:id="133"/>
      <w:bookmarkEnd w:id="134"/>
    </w:p>
    <w:p>
      <w:pPr>
        <w:spacing w:line="360" w:lineRule="auto"/>
        <w:rPr>
          <w:rFonts w:ascii="宋体" w:hAnsi="宋体"/>
          <w:sz w:val="24"/>
        </w:rPr>
      </w:pPr>
      <w:bookmarkStart w:id="135" w:name="_Ref467306513"/>
      <w:bookmarkStart w:id="136" w:name="_Toc520356156"/>
      <w:bookmarkStart w:id="137" w:name="_Toc310195707"/>
      <w:r>
        <w:rPr>
          <w:rFonts w:hint="eastAsia" w:ascii="宋体" w:hAnsi="宋体"/>
          <w:sz w:val="24"/>
        </w:rPr>
        <w:t>11.1投标报价：所有投标均以人民币报价。投标人的投标报价应遵守《中华人民共和国价格法》。该报价的全部费用，含相关税费，运输费，保险费，安装费及相关服务费等一切可能发生的费用。</w:t>
      </w:r>
    </w:p>
    <w:p>
      <w:pPr>
        <w:spacing w:line="360" w:lineRule="auto"/>
        <w:rPr>
          <w:rFonts w:ascii="宋体" w:hAnsi="宋体"/>
          <w:sz w:val="24"/>
        </w:rPr>
      </w:pPr>
      <w:r>
        <w:rPr>
          <w:rFonts w:ascii="宋体" w:hAnsi="宋体"/>
          <w:sz w:val="24"/>
        </w:rPr>
        <w:t>11.2投标人应在“投标分项报价表”上标明投标服务及相关服务的单价和总价，并由法定代表人或其授权代表签署。</w:t>
      </w:r>
    </w:p>
    <w:p>
      <w:pPr>
        <w:pStyle w:val="7"/>
        <w:spacing w:line="360" w:lineRule="auto"/>
      </w:pPr>
      <w:r>
        <w:rPr>
          <w:rFonts w:hint="eastAsia" w:ascii="宋体" w:hAnsi="宋体"/>
          <w:sz w:val="24"/>
        </w:rPr>
        <w:t>11.3投标分项报价表上的价格项应包含所有费用（招标文件另行规定除外），包括招标文件中要求的全部内容。</w:t>
      </w:r>
    </w:p>
    <w:p>
      <w:pPr>
        <w:spacing w:line="360" w:lineRule="auto"/>
        <w:rPr>
          <w:rFonts w:ascii="宋体" w:hAnsi="宋体"/>
          <w:sz w:val="24"/>
        </w:rPr>
      </w:pPr>
      <w:r>
        <w:rPr>
          <w:rFonts w:hint="eastAsia" w:ascii="宋体" w:hAnsi="宋体"/>
          <w:sz w:val="24"/>
        </w:rPr>
        <w:t>11.4本次招标，只允许有一个投标报价，本项目不接受任何选择性报价。</w:t>
      </w:r>
    </w:p>
    <w:p>
      <w:pPr>
        <w:spacing w:line="360" w:lineRule="auto"/>
        <w:rPr>
          <w:rFonts w:ascii="宋体" w:hAnsi="宋体"/>
          <w:sz w:val="24"/>
        </w:rPr>
      </w:pPr>
      <w:r>
        <w:rPr>
          <w:rFonts w:hint="eastAsia" w:ascii="宋体" w:hAnsi="宋体"/>
          <w:sz w:val="24"/>
        </w:rPr>
        <w:t>11.5供应商不得提供赠品、回扣或者与采购无关的其他商品、服务。</w:t>
      </w:r>
    </w:p>
    <w:p>
      <w:pPr>
        <w:spacing w:line="360" w:lineRule="auto"/>
        <w:rPr>
          <w:rFonts w:ascii="宋体" w:hAnsi="宋体"/>
          <w:sz w:val="24"/>
        </w:rPr>
      </w:pPr>
      <w:r>
        <w:rPr>
          <w:rFonts w:hint="eastAsia" w:ascii="宋体" w:hAnsi="宋体"/>
          <w:sz w:val="24"/>
        </w:rPr>
        <w:t>11.6最低报价不作为授予合同的唯一保证。</w:t>
      </w:r>
    </w:p>
    <w:p>
      <w:pPr>
        <w:pStyle w:val="6"/>
        <w:tabs>
          <w:tab w:val="left" w:pos="900"/>
        </w:tabs>
        <w:spacing w:line="360" w:lineRule="auto"/>
        <w:rPr>
          <w:rFonts w:hint="default"/>
          <w:b/>
          <w:sz w:val="24"/>
        </w:rPr>
      </w:pPr>
      <w:bookmarkStart w:id="138" w:name="_Toc5895181"/>
      <w:bookmarkStart w:id="139" w:name="_Toc23811"/>
      <w:bookmarkStart w:id="140" w:name="_Toc40110906"/>
      <w:r>
        <w:rPr>
          <w:b/>
          <w:sz w:val="24"/>
        </w:rPr>
        <w:t>12.投标保证金</w:t>
      </w:r>
      <w:bookmarkEnd w:id="135"/>
      <w:bookmarkEnd w:id="136"/>
      <w:bookmarkEnd w:id="137"/>
      <w:bookmarkEnd w:id="138"/>
      <w:bookmarkEnd w:id="139"/>
      <w:bookmarkEnd w:id="140"/>
    </w:p>
    <w:p>
      <w:pPr>
        <w:pStyle w:val="27"/>
        <w:spacing w:line="360" w:lineRule="auto"/>
        <w:rPr>
          <w:rFonts w:ascii="宋体" w:hAnsi="宋体"/>
          <w:sz w:val="24"/>
        </w:rPr>
      </w:pPr>
      <w:bookmarkStart w:id="141" w:name="_Ref467306302"/>
      <w:r>
        <w:rPr>
          <w:rFonts w:hint="eastAsia" w:ascii="宋体" w:hAnsi="宋体"/>
          <w:sz w:val="24"/>
        </w:rPr>
        <w:t>12.1 投标人应提供投标保证金</w:t>
      </w:r>
      <w:bookmarkEnd w:id="141"/>
      <w:r>
        <w:rPr>
          <w:rFonts w:hint="eastAsia" w:ascii="宋体" w:hAnsi="宋体"/>
          <w:sz w:val="24"/>
        </w:rPr>
        <w:t>，作为其有效投标的一部分。</w:t>
      </w:r>
    </w:p>
    <w:p>
      <w:pPr>
        <w:pStyle w:val="27"/>
        <w:spacing w:line="360" w:lineRule="auto"/>
        <w:rPr>
          <w:rFonts w:ascii="宋体" w:hAnsi="宋体"/>
          <w:b/>
          <w:sz w:val="24"/>
        </w:rPr>
      </w:pPr>
      <w:r>
        <w:rPr>
          <w:rFonts w:hint="eastAsia" w:ascii="宋体" w:hAnsi="宋体"/>
          <w:b/>
          <w:sz w:val="24"/>
        </w:rPr>
        <w:t>下列任何情况发生，投标保证金将不予返还：</w:t>
      </w:r>
    </w:p>
    <w:p>
      <w:pPr>
        <w:pStyle w:val="27"/>
        <w:spacing w:line="360" w:lineRule="auto"/>
        <w:rPr>
          <w:rFonts w:ascii="宋体" w:hAnsi="宋体"/>
          <w:bCs/>
          <w:sz w:val="24"/>
        </w:rPr>
      </w:pPr>
      <w:r>
        <w:rPr>
          <w:rFonts w:hint="eastAsia" w:ascii="宋体" w:hAnsi="宋体"/>
          <w:bCs/>
          <w:sz w:val="24"/>
        </w:rPr>
        <w:t>（1）投标有效期内投标人撤销投标文件的；</w:t>
      </w:r>
    </w:p>
    <w:p>
      <w:pPr>
        <w:pStyle w:val="27"/>
        <w:spacing w:line="360" w:lineRule="auto"/>
        <w:rPr>
          <w:rFonts w:ascii="宋体" w:hAnsi="宋体"/>
          <w:bCs/>
          <w:sz w:val="24"/>
        </w:rPr>
      </w:pPr>
      <w:r>
        <w:rPr>
          <w:rFonts w:hint="eastAsia" w:ascii="宋体" w:hAnsi="宋体"/>
          <w:bCs/>
          <w:sz w:val="24"/>
        </w:rPr>
        <w:t>（2）中标人不按本须知第27条的规定与采购人签订合同的；</w:t>
      </w:r>
    </w:p>
    <w:p>
      <w:pPr>
        <w:pStyle w:val="27"/>
        <w:spacing w:line="360" w:lineRule="auto"/>
        <w:rPr>
          <w:rFonts w:ascii="宋体" w:hAnsi="宋体"/>
          <w:bCs/>
          <w:sz w:val="24"/>
        </w:rPr>
      </w:pPr>
      <w:r>
        <w:rPr>
          <w:rFonts w:hint="eastAsia" w:ascii="宋体" w:hAnsi="宋体"/>
          <w:bCs/>
          <w:sz w:val="24"/>
        </w:rPr>
        <w:t>（3）中标人不按本须知第28条的规定提交履约保证金的；</w:t>
      </w:r>
    </w:p>
    <w:p>
      <w:pPr>
        <w:pStyle w:val="27"/>
        <w:spacing w:line="360" w:lineRule="auto"/>
        <w:rPr>
          <w:rFonts w:ascii="宋体" w:hAnsi="宋体"/>
          <w:bCs/>
          <w:sz w:val="24"/>
        </w:rPr>
      </w:pPr>
      <w:r>
        <w:rPr>
          <w:rFonts w:hint="eastAsia" w:ascii="宋体" w:hAnsi="宋体"/>
          <w:bCs/>
          <w:sz w:val="24"/>
        </w:rPr>
        <w:t>（4）中标人擅自放弃中标的。</w:t>
      </w:r>
    </w:p>
    <w:p>
      <w:pPr>
        <w:pStyle w:val="27"/>
        <w:spacing w:line="360" w:lineRule="auto"/>
        <w:rPr>
          <w:rFonts w:ascii="宋体" w:hAnsi="宋体"/>
          <w:sz w:val="24"/>
        </w:rPr>
      </w:pPr>
      <w:bookmarkStart w:id="142" w:name="_Ref467306336"/>
      <w:r>
        <w:rPr>
          <w:rFonts w:hint="eastAsia" w:ascii="宋体" w:hAnsi="宋体"/>
          <w:sz w:val="24"/>
        </w:rPr>
        <w:t>12.2提交投标保证金形式：</w:t>
      </w:r>
      <w:bookmarkEnd w:id="142"/>
      <w:r>
        <w:rPr>
          <w:rFonts w:hint="eastAsia" w:ascii="宋体" w:hAnsi="宋体"/>
          <w:sz w:val="24"/>
        </w:rPr>
        <w:t>详见投标人须知资料表</w:t>
      </w:r>
    </w:p>
    <w:p>
      <w:pPr>
        <w:pStyle w:val="27"/>
        <w:spacing w:line="360" w:lineRule="auto"/>
        <w:rPr>
          <w:rFonts w:ascii="宋体" w:hAnsi="宋体"/>
          <w:sz w:val="24"/>
        </w:rPr>
      </w:pPr>
      <w:r>
        <w:rPr>
          <w:rFonts w:hint="eastAsia" w:ascii="宋体" w:hAnsi="宋体"/>
          <w:sz w:val="24"/>
        </w:rPr>
        <w:t>12.3中标人的投标保证金，自采购合同签订之日起5个工作日内退还。</w:t>
      </w:r>
    </w:p>
    <w:p>
      <w:pPr>
        <w:pStyle w:val="27"/>
        <w:spacing w:line="360" w:lineRule="auto"/>
        <w:rPr>
          <w:rFonts w:ascii="宋体" w:hAnsi="宋体"/>
          <w:sz w:val="24"/>
        </w:rPr>
      </w:pPr>
      <w:r>
        <w:rPr>
          <w:rFonts w:hint="eastAsia" w:ascii="宋体" w:hAnsi="宋体"/>
          <w:sz w:val="24"/>
        </w:rPr>
        <w:t>12.4未中标人的投标保证金，自中标通知书发出之日起5个工作日内退还。</w:t>
      </w:r>
    </w:p>
    <w:p>
      <w:pPr>
        <w:pStyle w:val="6"/>
        <w:tabs>
          <w:tab w:val="left" w:pos="900"/>
        </w:tabs>
        <w:spacing w:line="360" w:lineRule="auto"/>
        <w:rPr>
          <w:rFonts w:hint="default"/>
          <w:b/>
          <w:sz w:val="24"/>
        </w:rPr>
      </w:pPr>
      <w:bookmarkStart w:id="143" w:name="_Toc5895182"/>
      <w:bookmarkStart w:id="144" w:name="_Toc310195708"/>
      <w:bookmarkStart w:id="145" w:name="_Toc12188"/>
      <w:bookmarkStart w:id="146" w:name="_Toc40110907"/>
      <w:bookmarkStart w:id="147" w:name="_Toc520356157"/>
      <w:r>
        <w:rPr>
          <w:b/>
          <w:sz w:val="24"/>
        </w:rPr>
        <w:t>13.投标有效期</w:t>
      </w:r>
      <w:bookmarkEnd w:id="143"/>
      <w:bookmarkEnd w:id="144"/>
      <w:bookmarkEnd w:id="145"/>
      <w:bookmarkEnd w:id="146"/>
      <w:bookmarkEnd w:id="147"/>
    </w:p>
    <w:p>
      <w:pPr>
        <w:pStyle w:val="27"/>
        <w:spacing w:line="360" w:lineRule="auto"/>
        <w:rPr>
          <w:rFonts w:ascii="宋体" w:hAnsi="宋体"/>
          <w:bCs/>
          <w:sz w:val="24"/>
        </w:rPr>
      </w:pPr>
      <w:r>
        <w:rPr>
          <w:rFonts w:hint="eastAsia" w:ascii="宋体" w:hAnsi="宋体"/>
          <w:bCs/>
          <w:sz w:val="24"/>
        </w:rPr>
        <w:t>13.1投标有效期：详见投标人须知资料表。</w:t>
      </w:r>
    </w:p>
    <w:p>
      <w:pPr>
        <w:pStyle w:val="27"/>
        <w:spacing w:line="360" w:lineRule="auto"/>
        <w:rPr>
          <w:rFonts w:ascii="宋体" w:hAnsi="宋体"/>
          <w:bCs/>
          <w:sz w:val="24"/>
        </w:rPr>
      </w:pPr>
      <w:r>
        <w:rPr>
          <w:rFonts w:hint="eastAsia" w:ascii="宋体" w:hAnsi="宋体"/>
          <w:bCs/>
          <w:sz w:val="24"/>
        </w:rPr>
        <w:t>13.2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不会被没收。上述要求和答复都应以书面形式提交。</w:t>
      </w:r>
    </w:p>
    <w:p>
      <w:pPr>
        <w:pStyle w:val="6"/>
        <w:tabs>
          <w:tab w:val="left" w:pos="900"/>
        </w:tabs>
        <w:spacing w:line="360" w:lineRule="auto"/>
        <w:rPr>
          <w:rFonts w:hint="default"/>
          <w:b/>
          <w:sz w:val="24"/>
        </w:rPr>
      </w:pPr>
      <w:bookmarkStart w:id="148" w:name="_Toc520356158"/>
      <w:bookmarkStart w:id="149" w:name="_Toc12770"/>
      <w:bookmarkStart w:id="150" w:name="_Toc40110908"/>
      <w:bookmarkStart w:id="151" w:name="_Toc310195709"/>
      <w:bookmarkStart w:id="152" w:name="_Toc5895183"/>
      <w:r>
        <w:rPr>
          <w:b/>
          <w:sz w:val="24"/>
        </w:rPr>
        <w:t>14.投标文件的签署</w:t>
      </w:r>
      <w:bookmarkEnd w:id="148"/>
      <w:r>
        <w:rPr>
          <w:b/>
          <w:sz w:val="24"/>
        </w:rPr>
        <w:t>与规定</w:t>
      </w:r>
      <w:bookmarkEnd w:id="149"/>
      <w:bookmarkEnd w:id="150"/>
      <w:bookmarkEnd w:id="151"/>
      <w:bookmarkEnd w:id="152"/>
    </w:p>
    <w:p>
      <w:pPr>
        <w:pStyle w:val="27"/>
        <w:spacing w:line="360" w:lineRule="auto"/>
        <w:rPr>
          <w:rFonts w:ascii="宋体" w:hAnsi="宋体"/>
          <w:sz w:val="24"/>
        </w:rPr>
      </w:pPr>
      <w:r>
        <w:rPr>
          <w:rFonts w:hint="eastAsia" w:ascii="宋体" w:hAnsi="宋体"/>
          <w:sz w:val="24"/>
        </w:rPr>
        <w:t>14.1投标人应按招标文件第二章投标人须知资料表的规定准备投标文件的正本、副本、电子版，每份投标文件须清楚地标明“正本”、“副本”、“电子版”。若正本和副本、电子文件不符，以纸质正本为准。</w:t>
      </w:r>
    </w:p>
    <w:p>
      <w:pPr>
        <w:pStyle w:val="27"/>
        <w:spacing w:line="360" w:lineRule="auto"/>
        <w:rPr>
          <w:rFonts w:ascii="宋体" w:hAnsi="宋体"/>
          <w:sz w:val="24"/>
        </w:rPr>
      </w:pPr>
      <w:r>
        <w:rPr>
          <w:rFonts w:hint="eastAsia" w:ascii="宋体" w:hAnsi="宋体"/>
          <w:sz w:val="24"/>
        </w:rPr>
        <w:t>14.2投标文件的正本需打印或用不退色墨水书写。</w:t>
      </w:r>
    </w:p>
    <w:p>
      <w:pPr>
        <w:pStyle w:val="27"/>
        <w:spacing w:line="360" w:lineRule="auto"/>
        <w:rPr>
          <w:rFonts w:ascii="宋体" w:hAnsi="宋体"/>
          <w:sz w:val="24"/>
        </w:rPr>
      </w:pPr>
      <w:r>
        <w:rPr>
          <w:rFonts w:hint="eastAsia" w:ascii="宋体" w:hAnsi="宋体"/>
          <w:sz w:val="24"/>
        </w:rPr>
        <w:t>14.3 任何对投标文件行间插字、涂改和增删，必须由法定代表人或其授权代表签字，或加盖本单位公章后有效。</w:t>
      </w:r>
    </w:p>
    <w:p>
      <w:pPr>
        <w:pStyle w:val="27"/>
        <w:spacing w:line="360" w:lineRule="auto"/>
        <w:rPr>
          <w:rFonts w:ascii="宋体" w:hAnsi="宋体"/>
          <w:sz w:val="24"/>
        </w:rPr>
      </w:pPr>
      <w:r>
        <w:rPr>
          <w:rFonts w:hint="eastAsia" w:ascii="宋体" w:hAnsi="宋体"/>
          <w:sz w:val="24"/>
        </w:rPr>
        <w:t>14.4 投标文件因字迹潦草或表达不清所引起的后果由投标人负责。</w:t>
      </w:r>
    </w:p>
    <w:p>
      <w:pPr>
        <w:pStyle w:val="6"/>
        <w:tabs>
          <w:tab w:val="left" w:pos="900"/>
        </w:tabs>
        <w:spacing w:line="360" w:lineRule="auto"/>
        <w:jc w:val="center"/>
        <w:rPr>
          <w:rFonts w:hint="default"/>
          <w:sz w:val="24"/>
        </w:rPr>
      </w:pPr>
      <w:bookmarkStart w:id="153" w:name="_Toc5895184"/>
      <w:bookmarkStart w:id="154" w:name="_Toc20621"/>
      <w:bookmarkStart w:id="155" w:name="_Toc40110909"/>
      <w:bookmarkStart w:id="156" w:name="_Toc310195710"/>
      <w:bookmarkStart w:id="157" w:name="_Toc30105"/>
      <w:bookmarkStart w:id="158" w:name="_Toc520356159"/>
      <w:r>
        <w:rPr>
          <w:sz w:val="24"/>
        </w:rPr>
        <w:t>四 投标文件的递交</w:t>
      </w:r>
      <w:bookmarkEnd w:id="153"/>
      <w:bookmarkEnd w:id="154"/>
      <w:bookmarkEnd w:id="155"/>
      <w:bookmarkEnd w:id="156"/>
      <w:bookmarkEnd w:id="157"/>
      <w:bookmarkEnd w:id="158"/>
    </w:p>
    <w:p>
      <w:pPr>
        <w:pStyle w:val="6"/>
        <w:spacing w:line="360" w:lineRule="auto"/>
        <w:rPr>
          <w:rFonts w:hint="default"/>
          <w:b/>
          <w:sz w:val="24"/>
          <w:lang w:val="en-US"/>
        </w:rPr>
      </w:pPr>
      <w:bookmarkStart w:id="159" w:name="_Toc310195711"/>
      <w:bookmarkStart w:id="160" w:name="_Toc40110910"/>
      <w:bookmarkStart w:id="161" w:name="_Toc5895185"/>
      <w:bookmarkStart w:id="162" w:name="_Toc2311"/>
      <w:r>
        <w:rPr>
          <w:b/>
          <w:sz w:val="24"/>
        </w:rPr>
        <w:t>15.投标文件的装订及递交</w:t>
      </w:r>
      <w:bookmarkEnd w:id="159"/>
      <w:bookmarkEnd w:id="160"/>
      <w:bookmarkEnd w:id="161"/>
      <w:bookmarkEnd w:id="162"/>
    </w:p>
    <w:p>
      <w:pPr>
        <w:pStyle w:val="27"/>
        <w:spacing w:line="360" w:lineRule="auto"/>
        <w:rPr>
          <w:rFonts w:ascii="宋体" w:hAnsi="宋体"/>
          <w:b/>
          <w:sz w:val="24"/>
        </w:rPr>
      </w:pPr>
      <w:bookmarkStart w:id="163" w:name="_Toc520356161"/>
      <w:r>
        <w:rPr>
          <w:rFonts w:hint="eastAsia" w:ascii="宋体" w:hAnsi="宋体"/>
          <w:b/>
          <w:sz w:val="24"/>
        </w:rPr>
        <w:t>15.1投标文件一律采用A4幅面（图纸、彩页等除外）左侧装订。装订应牢固紧密，不易松动散落，不得采用活页试装订，采购人或采购代理机构对因装订不牢造成的文件散失不负责任。</w:t>
      </w:r>
    </w:p>
    <w:p>
      <w:pPr>
        <w:pStyle w:val="27"/>
        <w:spacing w:line="360" w:lineRule="auto"/>
        <w:rPr>
          <w:rFonts w:ascii="宋体" w:hAnsi="宋体"/>
          <w:b/>
          <w:sz w:val="24"/>
        </w:rPr>
      </w:pPr>
      <w:r>
        <w:rPr>
          <w:rFonts w:hint="eastAsia" w:ascii="宋体" w:hAnsi="宋体"/>
          <w:b/>
          <w:sz w:val="24"/>
        </w:rPr>
        <w:t>15.2投标人应将“开标一览表”、“投标文件资格册正本”、“投标文件资格册副本”、</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正本”</w:t>
      </w:r>
      <w:r>
        <w:rPr>
          <w:rFonts w:hint="eastAsia" w:ascii="宋体" w:hAnsi="宋体"/>
          <w:b/>
          <w:color w:val="000000"/>
          <w:sz w:val="24"/>
        </w:rPr>
        <w:t>、</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副本”</w:t>
      </w:r>
      <w:r>
        <w:rPr>
          <w:rFonts w:hint="eastAsia" w:ascii="宋体" w:hAnsi="宋体"/>
          <w:b/>
          <w:color w:val="000000"/>
          <w:sz w:val="24"/>
        </w:rPr>
        <w:t>、</w:t>
      </w:r>
      <w:r>
        <w:rPr>
          <w:rFonts w:hint="eastAsia" w:ascii="宋体" w:hAnsi="宋体"/>
          <w:b/>
          <w:sz w:val="24"/>
        </w:rPr>
        <w:t>“投标保证金复印件（如适用）”、“投标文件电子版”、“样品”（如适用）分开单独密封，并在密封袋/箱上分别标明“开标一览表”、“投标文件资格册正本”、“投标文件资格册副本”、“投标保证金</w:t>
      </w:r>
      <w:bookmarkStart w:id="164" w:name="_Toc350411806"/>
      <w:bookmarkStart w:id="165" w:name="_Toc366683837"/>
      <w:r>
        <w:rPr>
          <w:rFonts w:hint="eastAsia" w:ascii="宋体" w:hAnsi="宋体"/>
          <w:b/>
          <w:sz w:val="24"/>
        </w:rPr>
        <w:t>”、</w:t>
      </w:r>
      <w:bookmarkEnd w:id="164"/>
      <w:bookmarkEnd w:id="165"/>
      <w:r>
        <w:rPr>
          <w:rFonts w:hint="eastAsia" w:ascii="宋体" w:hAnsi="宋体"/>
          <w:b/>
          <w:sz w:val="24"/>
        </w:rPr>
        <w:t>“投标文件电子版”、</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正本”</w:t>
      </w:r>
      <w:r>
        <w:rPr>
          <w:rFonts w:hint="eastAsia" w:ascii="宋体" w:hAnsi="宋体"/>
          <w:b/>
          <w:color w:val="000000"/>
          <w:sz w:val="24"/>
        </w:rPr>
        <w:t>、</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副本”</w:t>
      </w:r>
      <w:r>
        <w:rPr>
          <w:rFonts w:hint="eastAsia" w:ascii="宋体" w:hAnsi="宋体"/>
          <w:b/>
          <w:sz w:val="24"/>
        </w:rPr>
        <w:t>、“样品”字样，在投标时统一递交。同时提供“法人代表授权书（加盖本单位公章）”及“授权代表身份证复印件（加盖本单位公章）”。</w:t>
      </w:r>
    </w:p>
    <w:p>
      <w:pPr>
        <w:pStyle w:val="27"/>
        <w:spacing w:line="360" w:lineRule="auto"/>
        <w:rPr>
          <w:rFonts w:ascii="宋体" w:hAnsi="宋体"/>
          <w:b/>
          <w:sz w:val="24"/>
        </w:rPr>
      </w:pPr>
      <w:r>
        <w:rPr>
          <w:rFonts w:hint="eastAsia" w:ascii="宋体" w:hAnsi="宋体"/>
          <w:b/>
          <w:sz w:val="24"/>
        </w:rPr>
        <w:t>15.3所有密封袋/箱上均应：</w:t>
      </w:r>
    </w:p>
    <w:p>
      <w:pPr>
        <w:pStyle w:val="27"/>
        <w:spacing w:line="360" w:lineRule="auto"/>
        <w:rPr>
          <w:rFonts w:ascii="宋体" w:hAnsi="宋体"/>
          <w:b/>
          <w:sz w:val="24"/>
        </w:rPr>
      </w:pPr>
      <w:r>
        <w:rPr>
          <w:rFonts w:hint="eastAsia" w:ascii="宋体" w:hAnsi="宋体"/>
          <w:b/>
          <w:sz w:val="24"/>
        </w:rPr>
        <w:t>1)清楚标明投标文件递交地点暨开标地点。</w:t>
      </w:r>
    </w:p>
    <w:p>
      <w:pPr>
        <w:pStyle w:val="27"/>
        <w:spacing w:line="360" w:lineRule="auto"/>
        <w:rPr>
          <w:rFonts w:ascii="宋体" w:hAnsi="宋体"/>
          <w:b/>
          <w:sz w:val="24"/>
        </w:rPr>
      </w:pPr>
      <w:r>
        <w:rPr>
          <w:rFonts w:hint="eastAsia" w:ascii="宋体" w:hAnsi="宋体"/>
          <w:b/>
          <w:sz w:val="24"/>
        </w:rPr>
        <w:t>2) 注明招标的项目名称、项目代理编号和投标人名称和地址，以及“在</w:t>
      </w:r>
      <w:r>
        <w:rPr>
          <w:rFonts w:hint="eastAsia" w:ascii="宋体" w:hAnsi="宋体"/>
          <w:b/>
          <w:i/>
          <w:sz w:val="24"/>
          <w:u w:val="single"/>
        </w:rPr>
        <w:t>（</w:t>
      </w:r>
      <w:r>
        <w:rPr>
          <w:rFonts w:hint="eastAsia" w:ascii="宋体" w:hAnsi="宋体"/>
          <w:i/>
          <w:sz w:val="24"/>
          <w:u w:val="single"/>
        </w:rPr>
        <w:t>开标时间</w:t>
      </w:r>
      <w:r>
        <w:rPr>
          <w:rFonts w:hint="eastAsia" w:ascii="宋体" w:hAnsi="宋体"/>
          <w:b/>
          <w:i/>
          <w:sz w:val="24"/>
          <w:u w:val="single"/>
        </w:rPr>
        <w:t>）</w:t>
      </w:r>
      <w:r>
        <w:rPr>
          <w:rFonts w:hint="eastAsia" w:ascii="宋体" w:hAnsi="宋体"/>
          <w:b/>
          <w:sz w:val="24"/>
        </w:rPr>
        <w:t>之前不得启封”的字样，以便若其投标被宣布为“迟到”投标时，能原封退回。</w:t>
      </w:r>
      <w:r>
        <w:rPr>
          <w:rFonts w:hint="eastAsia" w:ascii="宋体" w:hAnsi="宋体"/>
          <w:sz w:val="24"/>
        </w:rPr>
        <w:t>如果投标人未按上述要求加写标记的，采购代理机构对投标文件的误投概不负责。</w:t>
      </w:r>
    </w:p>
    <w:p>
      <w:pPr>
        <w:pStyle w:val="8"/>
        <w:spacing w:line="360" w:lineRule="auto"/>
        <w:rPr>
          <w:rFonts w:ascii="宋体" w:hAnsi="宋体"/>
          <w:sz w:val="24"/>
        </w:rPr>
      </w:pPr>
      <w:r>
        <w:rPr>
          <w:rFonts w:hint="eastAsia" w:ascii="宋体" w:hAnsi="宋体"/>
          <w:sz w:val="24"/>
        </w:rPr>
        <w:t>15.4如需提供样品的，采购活动结束后，对于未中标人提供的样品，应当及时退还或者经未中标人同意后自行处理；对于中标人提供的样品，应当按照招标文件的规定进行保管、封存，并作为履约验收的参考。</w:t>
      </w:r>
    </w:p>
    <w:p>
      <w:pPr>
        <w:pStyle w:val="6"/>
        <w:spacing w:line="360" w:lineRule="auto"/>
        <w:rPr>
          <w:rFonts w:hint="default"/>
          <w:b/>
          <w:sz w:val="24"/>
          <w:lang w:val="en-US"/>
        </w:rPr>
      </w:pPr>
      <w:bookmarkStart w:id="166" w:name="_Toc310195712"/>
      <w:bookmarkStart w:id="167" w:name="_Toc5895186"/>
      <w:bookmarkStart w:id="168" w:name="_Toc40110911"/>
      <w:bookmarkStart w:id="169" w:name="_Toc21338"/>
      <w:r>
        <w:rPr>
          <w:b/>
          <w:sz w:val="24"/>
        </w:rPr>
        <w:t>16.投标截止</w:t>
      </w:r>
      <w:bookmarkEnd w:id="163"/>
      <w:bookmarkEnd w:id="166"/>
      <w:bookmarkEnd w:id="167"/>
      <w:r>
        <w:rPr>
          <w:b/>
          <w:sz w:val="24"/>
          <w:lang w:val="en-US"/>
        </w:rPr>
        <w:t>时间</w:t>
      </w:r>
      <w:bookmarkEnd w:id="168"/>
      <w:bookmarkEnd w:id="169"/>
    </w:p>
    <w:p>
      <w:pPr>
        <w:pStyle w:val="27"/>
        <w:spacing w:line="360" w:lineRule="auto"/>
        <w:rPr>
          <w:rFonts w:ascii="宋体" w:hAnsi="宋体"/>
          <w:sz w:val="24"/>
        </w:rPr>
      </w:pPr>
      <w:bookmarkStart w:id="170" w:name="_Toc5895187"/>
      <w:bookmarkStart w:id="171" w:name="_Toc520356162"/>
      <w:bookmarkStart w:id="172" w:name="_Toc310195713"/>
      <w:r>
        <w:rPr>
          <w:rFonts w:ascii="宋体" w:hAnsi="宋体"/>
          <w:sz w:val="24"/>
        </w:rPr>
        <w:t>投标人应在招标公告或投标邀请书中规定的投标文件递交截止时间前，将投标文件按招标公告或投标邀请书中规定的投标地点递交。</w:t>
      </w:r>
    </w:p>
    <w:p>
      <w:pPr>
        <w:pStyle w:val="6"/>
        <w:spacing w:line="360" w:lineRule="auto"/>
        <w:rPr>
          <w:rFonts w:hint="default"/>
          <w:b/>
          <w:sz w:val="24"/>
        </w:rPr>
      </w:pPr>
      <w:bookmarkStart w:id="173" w:name="_Toc40110912"/>
      <w:bookmarkStart w:id="174" w:name="_Toc17808"/>
      <w:r>
        <w:rPr>
          <w:b/>
          <w:sz w:val="24"/>
        </w:rPr>
        <w:t>17.投标文件的</w:t>
      </w:r>
      <w:r>
        <w:rPr>
          <w:b/>
          <w:sz w:val="24"/>
          <w:lang w:val="en-US"/>
        </w:rPr>
        <w:t>补充、</w:t>
      </w:r>
      <w:r>
        <w:rPr>
          <w:b/>
          <w:sz w:val="24"/>
        </w:rPr>
        <w:t>修改</w:t>
      </w:r>
      <w:r>
        <w:rPr>
          <w:b/>
          <w:sz w:val="24"/>
          <w:lang w:val="en-US"/>
        </w:rPr>
        <w:t>与</w:t>
      </w:r>
      <w:r>
        <w:rPr>
          <w:b/>
          <w:sz w:val="24"/>
        </w:rPr>
        <w:t>撤回</w:t>
      </w:r>
      <w:bookmarkEnd w:id="170"/>
      <w:bookmarkEnd w:id="171"/>
      <w:bookmarkEnd w:id="172"/>
      <w:bookmarkEnd w:id="173"/>
      <w:bookmarkEnd w:id="174"/>
    </w:p>
    <w:p>
      <w:pPr>
        <w:pStyle w:val="27"/>
        <w:spacing w:line="360" w:lineRule="auto"/>
        <w:rPr>
          <w:rFonts w:ascii="宋体" w:hAnsi="宋体"/>
          <w:sz w:val="24"/>
        </w:rPr>
      </w:pPr>
      <w:r>
        <w:rPr>
          <w:rFonts w:hint="eastAsia" w:ascii="宋体" w:hAnsi="宋体"/>
          <w:sz w:val="24"/>
        </w:rPr>
        <w:t>17.1投标人在投标截止时间前，可以对所递交的投标文件进行补充、修改或者撤回，并书面通知采购人或者采购代理机构。</w:t>
      </w:r>
    </w:p>
    <w:p>
      <w:pPr>
        <w:pStyle w:val="27"/>
        <w:spacing w:line="360" w:lineRule="auto"/>
        <w:rPr>
          <w:rFonts w:ascii="宋体" w:hAnsi="宋体"/>
          <w:sz w:val="24"/>
        </w:rPr>
      </w:pPr>
      <w:r>
        <w:rPr>
          <w:rFonts w:hint="eastAsia" w:ascii="宋体" w:hAnsi="宋体"/>
          <w:sz w:val="24"/>
        </w:rPr>
        <w:t>17.2补充、修改的内容应当按照招标文件要求签署、盖章、密封后，作为投标文件的组成部分。</w:t>
      </w:r>
    </w:p>
    <w:p>
      <w:pPr>
        <w:pStyle w:val="27"/>
        <w:spacing w:line="360" w:lineRule="auto"/>
        <w:rPr>
          <w:rFonts w:ascii="宋体" w:hAnsi="宋体"/>
          <w:b/>
          <w:sz w:val="24"/>
        </w:rPr>
      </w:pPr>
      <w:r>
        <w:rPr>
          <w:rFonts w:hint="eastAsia" w:ascii="宋体" w:hAnsi="宋体"/>
          <w:sz w:val="24"/>
        </w:rPr>
        <w:t>17.3在投标截止时间之后，投标人不得对其投标文件做任何修改。</w:t>
      </w:r>
    </w:p>
    <w:p>
      <w:pPr>
        <w:pStyle w:val="6"/>
        <w:tabs>
          <w:tab w:val="left" w:pos="900"/>
        </w:tabs>
        <w:spacing w:line="360" w:lineRule="auto"/>
        <w:jc w:val="center"/>
        <w:rPr>
          <w:rFonts w:hint="default"/>
          <w:sz w:val="24"/>
        </w:rPr>
      </w:pPr>
      <w:bookmarkStart w:id="175" w:name="_Toc40110913"/>
      <w:bookmarkStart w:id="176" w:name="_Toc520356163"/>
      <w:bookmarkStart w:id="177" w:name="_Toc5895188"/>
      <w:bookmarkStart w:id="178" w:name="_Toc310195714"/>
      <w:bookmarkStart w:id="179" w:name="_Toc13840"/>
      <w:bookmarkStart w:id="180" w:name="_Toc24209"/>
      <w:r>
        <w:rPr>
          <w:sz w:val="24"/>
        </w:rPr>
        <w:t>五 开标及评标</w:t>
      </w:r>
      <w:bookmarkEnd w:id="175"/>
      <w:bookmarkEnd w:id="176"/>
      <w:bookmarkEnd w:id="177"/>
      <w:bookmarkEnd w:id="178"/>
      <w:bookmarkEnd w:id="179"/>
      <w:bookmarkEnd w:id="180"/>
    </w:p>
    <w:p>
      <w:pPr>
        <w:pStyle w:val="6"/>
        <w:spacing w:line="360" w:lineRule="auto"/>
        <w:rPr>
          <w:rFonts w:hint="default"/>
          <w:b/>
          <w:sz w:val="24"/>
        </w:rPr>
      </w:pPr>
      <w:bookmarkStart w:id="181" w:name="_Toc5895189"/>
      <w:bookmarkStart w:id="182" w:name="_Toc310195715"/>
      <w:bookmarkStart w:id="183" w:name="_Toc40110914"/>
      <w:bookmarkStart w:id="184" w:name="_Toc520356164"/>
      <w:bookmarkStart w:id="185" w:name="_Toc7960"/>
      <w:r>
        <w:rPr>
          <w:b/>
          <w:sz w:val="24"/>
        </w:rPr>
        <w:t>18.开标</w:t>
      </w:r>
      <w:bookmarkEnd w:id="181"/>
      <w:bookmarkEnd w:id="182"/>
      <w:bookmarkEnd w:id="183"/>
      <w:bookmarkEnd w:id="184"/>
      <w:bookmarkEnd w:id="185"/>
    </w:p>
    <w:p>
      <w:pPr>
        <w:pStyle w:val="27"/>
        <w:spacing w:line="360" w:lineRule="auto"/>
        <w:rPr>
          <w:rFonts w:ascii="宋体" w:hAnsi="宋体"/>
          <w:sz w:val="24"/>
        </w:rPr>
      </w:pPr>
      <w:r>
        <w:rPr>
          <w:rFonts w:hint="eastAsia" w:ascii="宋体" w:hAnsi="宋体"/>
          <w:sz w:val="24"/>
        </w:rPr>
        <w:t>18.1采购代理机构应当按招标公告或投标邀请书的规定，在投标截止时间的同一时间和预先确定的地点组织公开开标。所有投标人应派法定代表人或授权代表参加开标会，并签到以证明其出席。</w:t>
      </w:r>
    </w:p>
    <w:p>
      <w:pPr>
        <w:pStyle w:val="27"/>
        <w:spacing w:line="360" w:lineRule="auto"/>
        <w:rPr>
          <w:rFonts w:ascii="宋体" w:hAnsi="宋体"/>
          <w:sz w:val="24"/>
        </w:rPr>
      </w:pPr>
      <w:r>
        <w:rPr>
          <w:rFonts w:hint="eastAsia" w:ascii="宋体" w:hAnsi="宋体"/>
          <w:sz w:val="24"/>
        </w:rPr>
        <w:t>18.2开标时，由公证员（如有）、监标人（如有）、</w:t>
      </w:r>
      <w:r>
        <w:rPr>
          <w:rFonts w:hint="eastAsia" w:asciiTheme="minorEastAsia" w:hAnsiTheme="minorEastAsia" w:eastAsiaTheme="minorEastAsia" w:cstheme="minorEastAsia"/>
          <w:sz w:val="24"/>
        </w:rPr>
        <w:t>投标人或者其推选的代表检查投标文件的密封情况。</w:t>
      </w:r>
    </w:p>
    <w:p>
      <w:pPr>
        <w:spacing w:line="360" w:lineRule="auto"/>
        <w:rPr>
          <w:rFonts w:ascii="宋体" w:hAnsi="宋体"/>
          <w:bCs/>
          <w:sz w:val="24"/>
        </w:rPr>
      </w:pPr>
      <w:bookmarkStart w:id="186" w:name="_Toc310195716"/>
      <w:bookmarkStart w:id="187" w:name="_Toc5895190"/>
      <w:r>
        <w:rPr>
          <w:rFonts w:hint="eastAsia" w:ascii="宋体" w:hAnsi="宋体"/>
          <w:bCs/>
          <w:sz w:val="24"/>
        </w:rPr>
        <w:t>18.3开标时，</w:t>
      </w:r>
      <w:r>
        <w:rPr>
          <w:rFonts w:hint="eastAsia" w:asciiTheme="minorEastAsia" w:hAnsiTheme="minorEastAsia" w:eastAsiaTheme="minorEastAsia" w:cstheme="minorEastAsia"/>
          <w:sz w:val="24"/>
        </w:rPr>
        <w:t>采购代理机构工作人员当众拆封，宣布投标人名称、投标价格和招标文件规定的需要宣布的其他内容。</w:t>
      </w:r>
    </w:p>
    <w:p>
      <w:pPr>
        <w:spacing w:line="360" w:lineRule="auto"/>
        <w:rPr>
          <w:rFonts w:ascii="宋体" w:hAnsi="宋体"/>
          <w:bCs/>
          <w:sz w:val="24"/>
        </w:rPr>
      </w:pPr>
      <w:r>
        <w:rPr>
          <w:rFonts w:ascii="宋体" w:hAnsi="宋体"/>
          <w:bCs/>
          <w:sz w:val="24"/>
        </w:rPr>
        <w:t>18.4开标过程应当由采购代理机构负责记录，由公证员（如有）、监标人（如有）、参加开标的各投标人代表和相关工作人员签字。</w:t>
      </w:r>
    </w:p>
    <w:p>
      <w:pPr>
        <w:pStyle w:val="6"/>
        <w:spacing w:line="360" w:lineRule="auto"/>
        <w:rPr>
          <w:rFonts w:hint="default"/>
          <w:b/>
          <w:sz w:val="24"/>
          <w:lang w:val="en-US"/>
        </w:rPr>
      </w:pPr>
      <w:bookmarkStart w:id="188" w:name="_Toc17565"/>
      <w:bookmarkStart w:id="189" w:name="_Toc40110915"/>
      <w:r>
        <w:rPr>
          <w:b/>
          <w:sz w:val="24"/>
        </w:rPr>
        <w:t>19.评标委员会</w:t>
      </w:r>
      <w:bookmarkEnd w:id="186"/>
      <w:r>
        <w:rPr>
          <w:b/>
          <w:sz w:val="24"/>
          <w:lang w:val="en-US"/>
        </w:rPr>
        <w:t>组建</w:t>
      </w:r>
      <w:bookmarkEnd w:id="187"/>
      <w:bookmarkEnd w:id="188"/>
      <w:bookmarkEnd w:id="189"/>
    </w:p>
    <w:p>
      <w:pPr>
        <w:pStyle w:val="27"/>
        <w:spacing w:line="360" w:lineRule="auto"/>
        <w:rPr>
          <w:rFonts w:ascii="宋体" w:hAnsi="宋体"/>
          <w:sz w:val="24"/>
        </w:rPr>
      </w:pPr>
      <w:r>
        <w:rPr>
          <w:rFonts w:hint="eastAsia" w:ascii="宋体" w:hAnsi="宋体"/>
          <w:sz w:val="24"/>
        </w:rPr>
        <w:t>19.1采购人或者采购代理机构应当从省级以上财政部门设立的政府采购评审专家库中，通过随机方式抽取评审专家。</w:t>
      </w:r>
    </w:p>
    <w:p>
      <w:pPr>
        <w:pStyle w:val="27"/>
        <w:spacing w:line="360" w:lineRule="auto"/>
        <w:rPr>
          <w:rFonts w:ascii="宋体" w:hAnsi="宋体"/>
          <w:sz w:val="24"/>
        </w:rPr>
      </w:pPr>
      <w:r>
        <w:rPr>
          <w:rFonts w:hint="eastAsia" w:ascii="宋体" w:hAnsi="宋体"/>
          <w:sz w:val="24"/>
        </w:rPr>
        <w:t>19.2对技术复杂、专业性强的采购项目，通过随机方式难以确定合适评审专家的，经主管预算单位同意，采购人可以自行选定相应专业领域的评审专家。</w:t>
      </w:r>
    </w:p>
    <w:p>
      <w:pPr>
        <w:pStyle w:val="27"/>
        <w:spacing w:line="360" w:lineRule="auto"/>
        <w:rPr>
          <w:rFonts w:ascii="宋体" w:hAnsi="宋体"/>
          <w:sz w:val="24"/>
        </w:rPr>
      </w:pPr>
      <w:r>
        <w:rPr>
          <w:rFonts w:hint="eastAsia" w:ascii="宋体" w:hAnsi="宋体"/>
          <w:sz w:val="24"/>
        </w:rPr>
        <w:t>19.3评标工作由评标委员会负责。</w:t>
      </w:r>
    </w:p>
    <w:p>
      <w:pPr>
        <w:pStyle w:val="6"/>
        <w:spacing w:line="360" w:lineRule="auto"/>
        <w:rPr>
          <w:rFonts w:hint="default"/>
          <w:b/>
          <w:sz w:val="24"/>
        </w:rPr>
      </w:pPr>
      <w:bookmarkStart w:id="190" w:name="_Toc310195717"/>
      <w:bookmarkStart w:id="191" w:name="_Toc520356166"/>
      <w:bookmarkStart w:id="192" w:name="_Toc5895191"/>
      <w:bookmarkStart w:id="193" w:name="_Toc16806"/>
      <w:bookmarkStart w:id="194" w:name="_Toc40110916"/>
      <w:r>
        <w:rPr>
          <w:b/>
          <w:sz w:val="24"/>
        </w:rPr>
        <w:t>2</w:t>
      </w:r>
      <w:r>
        <w:rPr>
          <w:rFonts w:hint="default"/>
          <w:b/>
          <w:sz w:val="24"/>
        </w:rPr>
        <w:t>0.</w:t>
      </w:r>
      <w:r>
        <w:rPr>
          <w:b/>
          <w:sz w:val="24"/>
        </w:rPr>
        <w:t>投标文件的</w:t>
      </w:r>
      <w:bookmarkEnd w:id="190"/>
      <w:bookmarkEnd w:id="191"/>
      <w:bookmarkEnd w:id="192"/>
      <w:r>
        <w:rPr>
          <w:b/>
          <w:sz w:val="24"/>
        </w:rPr>
        <w:t>审查</w:t>
      </w:r>
      <w:bookmarkEnd w:id="193"/>
      <w:bookmarkEnd w:id="194"/>
    </w:p>
    <w:p>
      <w:pPr>
        <w:pStyle w:val="27"/>
        <w:spacing w:line="360" w:lineRule="auto"/>
        <w:rPr>
          <w:rFonts w:ascii="宋体" w:hAnsi="宋体"/>
          <w:sz w:val="24"/>
        </w:rPr>
      </w:pPr>
      <w:r>
        <w:rPr>
          <w:rFonts w:hint="eastAsia" w:ascii="宋体" w:hAnsi="宋体"/>
          <w:sz w:val="24"/>
        </w:rPr>
        <w:t>20.1资格性审查。公开招标采购项目开标结束后，采购人或者采购代理机构应当依法对投标人的资格进行审查，以确定投标人是否具备投标资格。</w:t>
      </w:r>
    </w:p>
    <w:p>
      <w:pPr>
        <w:pStyle w:val="27"/>
        <w:spacing w:line="360" w:lineRule="auto"/>
        <w:rPr>
          <w:rFonts w:ascii="宋体" w:hAnsi="宋体"/>
          <w:sz w:val="24"/>
        </w:rPr>
      </w:pPr>
      <w:r>
        <w:rPr>
          <w:rFonts w:hint="eastAsia" w:ascii="宋体" w:hAnsi="宋体"/>
          <w:sz w:val="24"/>
        </w:rPr>
        <w:t>20.2符合性审查：评标委员会应当对符合资格的投标人的投标文件进行符合性审查，以确定其是否满足招标文件的实质性要求。</w:t>
      </w:r>
    </w:p>
    <w:p>
      <w:pPr>
        <w:pStyle w:val="27"/>
        <w:spacing w:line="360" w:lineRule="auto"/>
        <w:rPr>
          <w:rFonts w:ascii="宋体" w:hAnsi="宋体"/>
          <w:sz w:val="24"/>
        </w:rPr>
      </w:pPr>
      <w:r>
        <w:rPr>
          <w:rFonts w:hint="eastAsia" w:ascii="宋体" w:hAnsi="宋体"/>
          <w:sz w:val="24"/>
        </w:rPr>
        <w:t>20.3评标时算术错误将按以下方法更正（有明显错误的情况除外）：</w:t>
      </w:r>
    </w:p>
    <w:p>
      <w:pPr>
        <w:pStyle w:val="27"/>
        <w:spacing w:line="360" w:lineRule="auto"/>
        <w:rPr>
          <w:rFonts w:ascii="宋体" w:hAnsi="宋体"/>
          <w:sz w:val="24"/>
        </w:rPr>
      </w:pPr>
      <w:r>
        <w:rPr>
          <w:rFonts w:hint="eastAsia" w:ascii="宋体" w:hAnsi="宋体"/>
          <w:sz w:val="24"/>
        </w:rPr>
        <w:t>20.3.1投标文件中开标一览表（报价表）内容与投标文件中相应内容不一致的，以开标一览表（报价表）为准；</w:t>
      </w:r>
    </w:p>
    <w:p>
      <w:pPr>
        <w:pStyle w:val="27"/>
        <w:spacing w:line="360" w:lineRule="auto"/>
        <w:rPr>
          <w:rFonts w:ascii="宋体" w:hAnsi="宋体"/>
          <w:sz w:val="24"/>
        </w:rPr>
      </w:pPr>
      <w:r>
        <w:rPr>
          <w:rFonts w:hint="eastAsia" w:ascii="宋体" w:hAnsi="宋体"/>
          <w:sz w:val="24"/>
        </w:rPr>
        <w:t>20.3.2大写金额和小写金额不一致的，以大写金额为准；</w:t>
      </w:r>
    </w:p>
    <w:p>
      <w:pPr>
        <w:pStyle w:val="27"/>
        <w:spacing w:line="360" w:lineRule="auto"/>
        <w:rPr>
          <w:rFonts w:ascii="宋体" w:hAnsi="宋体"/>
          <w:sz w:val="24"/>
        </w:rPr>
      </w:pPr>
      <w:r>
        <w:rPr>
          <w:rFonts w:hint="eastAsia" w:ascii="宋体" w:hAnsi="宋体"/>
          <w:sz w:val="24"/>
        </w:rPr>
        <w:t>20.3.3单价金额小数点或者百分比有明显错位的，以开标一览表的总价为准，并修改单价；</w:t>
      </w:r>
    </w:p>
    <w:p>
      <w:pPr>
        <w:pStyle w:val="27"/>
        <w:spacing w:line="360" w:lineRule="auto"/>
        <w:rPr>
          <w:rFonts w:ascii="宋体" w:hAnsi="宋体"/>
          <w:sz w:val="24"/>
        </w:rPr>
      </w:pPr>
      <w:r>
        <w:rPr>
          <w:rFonts w:hint="eastAsia" w:ascii="宋体" w:hAnsi="宋体"/>
          <w:sz w:val="24"/>
        </w:rPr>
        <w:t>20.3.4总价金额与按单价汇总金额不一致的，以单价金额计算结果为准。</w:t>
      </w:r>
    </w:p>
    <w:p>
      <w:pPr>
        <w:pStyle w:val="27"/>
        <w:spacing w:line="360" w:lineRule="auto"/>
        <w:rPr>
          <w:rFonts w:ascii="宋体" w:hAnsi="宋体"/>
          <w:sz w:val="24"/>
        </w:rPr>
      </w:pPr>
      <w:r>
        <w:rPr>
          <w:rFonts w:hint="eastAsia" w:ascii="宋体" w:hAnsi="宋体"/>
          <w:sz w:val="24"/>
        </w:rPr>
        <w:t>20.3.5同时出现两种以上不一致的，按照20.3.1至20.3.4规定的顺序修正。</w:t>
      </w:r>
    </w:p>
    <w:p>
      <w:pPr>
        <w:pStyle w:val="27"/>
        <w:spacing w:line="360" w:lineRule="auto"/>
        <w:rPr>
          <w:rFonts w:ascii="宋体" w:hAnsi="宋体"/>
          <w:sz w:val="24"/>
        </w:rPr>
      </w:pPr>
      <w:r>
        <w:rPr>
          <w:rFonts w:hint="eastAsia" w:ascii="宋体" w:hAnsi="宋体"/>
          <w:sz w:val="24"/>
        </w:rPr>
        <w:t>20.3.6对不同文字文本投标文件解释发生异议的，以中文文本为准。</w:t>
      </w:r>
    </w:p>
    <w:p>
      <w:pPr>
        <w:pStyle w:val="27"/>
        <w:spacing w:line="360" w:lineRule="auto"/>
        <w:rPr>
          <w:rFonts w:ascii="宋体" w:hAnsi="宋体"/>
          <w:sz w:val="24"/>
        </w:rPr>
      </w:pPr>
      <w:r>
        <w:rPr>
          <w:rFonts w:ascii="宋体" w:hAnsi="宋体"/>
          <w:sz w:val="24"/>
        </w:rPr>
        <w:t xml:space="preserve">20.4 </w:t>
      </w:r>
      <w:r>
        <w:rPr>
          <w:rFonts w:hint="eastAsia" w:ascii="宋体" w:hAnsi="宋体"/>
          <w:sz w:val="24"/>
        </w:rPr>
        <w:t>在评标之前，评标委员会须审查每份投标文件《商务技术册》是否实质性响应了招标文件的要求。实质性响应的投标应该是《商务技术册》完整的、与招标文件要求的全部条款、条件和规格相符的，没有重大偏离的投标。对关键条文，例如关于投标保证金、投标有效期、适用法律等内容的偏离、保留和反对将被认为是实质上的偏离。评标委员会决定投标的响应性只根据投标文件本身的内容，而不依靠外部证据。</w:t>
      </w:r>
    </w:p>
    <w:p>
      <w:pPr>
        <w:pStyle w:val="27"/>
        <w:spacing w:line="360" w:lineRule="auto"/>
        <w:rPr>
          <w:rFonts w:ascii="宋体" w:hAnsi="宋体"/>
          <w:b/>
          <w:sz w:val="24"/>
        </w:rPr>
      </w:pPr>
      <w:r>
        <w:rPr>
          <w:rFonts w:hint="eastAsia" w:ascii="宋体" w:hAnsi="宋体"/>
          <w:b/>
          <w:sz w:val="24"/>
        </w:rPr>
        <w:t>20.5 在招标采购中，出现下列情形之一的，应予废标：</w:t>
      </w:r>
    </w:p>
    <w:p>
      <w:pPr>
        <w:pStyle w:val="27"/>
        <w:spacing w:line="360" w:lineRule="auto"/>
        <w:rPr>
          <w:rFonts w:ascii="宋体" w:hAnsi="宋体"/>
          <w:b/>
          <w:sz w:val="24"/>
        </w:rPr>
      </w:pPr>
      <w:r>
        <w:rPr>
          <w:rFonts w:hint="eastAsia" w:ascii="宋体" w:hAnsi="宋体"/>
          <w:b/>
          <w:sz w:val="24"/>
        </w:rPr>
        <w:t>20.5.1符合专业条件的投标人或者对招标文件作实质响应的投标人不足三家的；</w:t>
      </w:r>
    </w:p>
    <w:p>
      <w:pPr>
        <w:pStyle w:val="27"/>
        <w:spacing w:line="360" w:lineRule="auto"/>
        <w:rPr>
          <w:rFonts w:ascii="宋体" w:hAnsi="宋体"/>
          <w:b/>
          <w:sz w:val="24"/>
        </w:rPr>
      </w:pPr>
      <w:r>
        <w:rPr>
          <w:rFonts w:hint="eastAsia" w:ascii="宋体" w:hAnsi="宋体"/>
          <w:b/>
          <w:sz w:val="24"/>
        </w:rPr>
        <w:t>20.5.2出现影响采购公正的违法、违规行为的；</w:t>
      </w:r>
    </w:p>
    <w:p>
      <w:pPr>
        <w:pStyle w:val="27"/>
        <w:spacing w:line="360" w:lineRule="auto"/>
        <w:rPr>
          <w:rFonts w:ascii="宋体" w:hAnsi="宋体"/>
          <w:b/>
          <w:sz w:val="24"/>
        </w:rPr>
      </w:pPr>
      <w:r>
        <w:rPr>
          <w:rFonts w:hint="eastAsia" w:ascii="宋体" w:hAnsi="宋体"/>
          <w:b/>
          <w:sz w:val="24"/>
        </w:rPr>
        <w:t>20.5.3投标人的报价均超过了采购预算，采购人不能支付的；</w:t>
      </w:r>
    </w:p>
    <w:p>
      <w:pPr>
        <w:pStyle w:val="27"/>
        <w:spacing w:line="360" w:lineRule="auto"/>
        <w:rPr>
          <w:rFonts w:ascii="宋体" w:hAnsi="宋体"/>
          <w:b/>
          <w:sz w:val="24"/>
        </w:rPr>
      </w:pPr>
      <w:r>
        <w:rPr>
          <w:rFonts w:hint="eastAsia" w:ascii="宋体" w:hAnsi="宋体"/>
          <w:b/>
          <w:sz w:val="24"/>
        </w:rPr>
        <w:t>20.5.4因重大变故，采购任务取消的。</w:t>
      </w:r>
    </w:p>
    <w:p>
      <w:pPr>
        <w:pStyle w:val="27"/>
        <w:spacing w:line="360" w:lineRule="auto"/>
        <w:rPr>
          <w:rFonts w:ascii="宋体" w:hAnsi="宋体"/>
          <w:b/>
          <w:sz w:val="24"/>
        </w:rPr>
      </w:pPr>
      <w:bookmarkStart w:id="195" w:name="_Toc310195718"/>
      <w:bookmarkStart w:id="196" w:name="_Toc5895192"/>
      <w:bookmarkStart w:id="197" w:name="_Toc520356167"/>
      <w:r>
        <w:rPr>
          <w:rFonts w:ascii="宋体" w:hAnsi="宋体"/>
          <w:b/>
          <w:sz w:val="24"/>
        </w:rPr>
        <w:t>20.6 投标文件属下列情况之一的，应当在资格性、符合性审查时按照无效投标处理：</w:t>
      </w:r>
    </w:p>
    <w:p>
      <w:pPr>
        <w:pStyle w:val="27"/>
        <w:spacing w:line="360" w:lineRule="auto"/>
        <w:rPr>
          <w:rFonts w:ascii="宋体" w:hAnsi="宋体"/>
          <w:sz w:val="24"/>
        </w:rPr>
      </w:pPr>
      <w:r>
        <w:rPr>
          <w:rFonts w:hint="eastAsia" w:ascii="宋体" w:hAnsi="宋体"/>
          <w:sz w:val="24"/>
        </w:rPr>
        <w:t>20.6.1未按照招标文件的规定提交投标保证金的；</w:t>
      </w:r>
    </w:p>
    <w:p>
      <w:pPr>
        <w:pStyle w:val="27"/>
        <w:spacing w:line="360" w:lineRule="auto"/>
        <w:rPr>
          <w:rFonts w:ascii="宋体" w:hAnsi="宋体"/>
          <w:sz w:val="24"/>
        </w:rPr>
      </w:pPr>
      <w:r>
        <w:rPr>
          <w:rFonts w:hint="eastAsia" w:ascii="宋体" w:hAnsi="宋体"/>
          <w:sz w:val="24"/>
        </w:rPr>
        <w:t>20.6.2投标文件未按招标文件要求装订、签署、盖章的；</w:t>
      </w:r>
    </w:p>
    <w:p>
      <w:pPr>
        <w:pStyle w:val="27"/>
        <w:spacing w:line="360" w:lineRule="auto"/>
        <w:rPr>
          <w:rFonts w:ascii="宋体" w:hAnsi="宋体"/>
          <w:sz w:val="24"/>
        </w:rPr>
      </w:pPr>
      <w:r>
        <w:rPr>
          <w:rFonts w:hint="eastAsia" w:ascii="宋体" w:hAnsi="宋体"/>
          <w:sz w:val="24"/>
        </w:rPr>
        <w:t>20.6.3不具备招标文件中规定的资格要求的；</w:t>
      </w:r>
    </w:p>
    <w:p>
      <w:pPr>
        <w:pStyle w:val="27"/>
        <w:spacing w:line="360" w:lineRule="auto"/>
        <w:rPr>
          <w:rFonts w:ascii="宋体" w:hAnsi="宋体"/>
          <w:sz w:val="24"/>
        </w:rPr>
      </w:pPr>
      <w:r>
        <w:rPr>
          <w:rFonts w:hint="eastAsia" w:ascii="宋体" w:hAnsi="宋体"/>
          <w:sz w:val="24"/>
        </w:rPr>
        <w:t>20.6.4报价超过招标文件中规定的预算金额或者最高限价的；</w:t>
      </w:r>
    </w:p>
    <w:p>
      <w:pPr>
        <w:pStyle w:val="27"/>
        <w:spacing w:line="360" w:lineRule="auto"/>
        <w:rPr>
          <w:rFonts w:ascii="宋体" w:hAnsi="宋体"/>
          <w:sz w:val="24"/>
        </w:rPr>
      </w:pPr>
      <w:r>
        <w:rPr>
          <w:rFonts w:hint="eastAsia" w:ascii="宋体" w:hAnsi="宋体"/>
          <w:sz w:val="24"/>
        </w:rPr>
        <w:t>20.6.5投标文件含有采购人不能接受的附加条件的；</w:t>
      </w:r>
    </w:p>
    <w:p>
      <w:pPr>
        <w:pStyle w:val="27"/>
        <w:spacing w:line="360" w:lineRule="auto"/>
        <w:rPr>
          <w:rFonts w:ascii="宋体" w:hAnsi="宋体"/>
          <w:sz w:val="24"/>
        </w:rPr>
      </w:pPr>
      <w:r>
        <w:rPr>
          <w:rFonts w:hint="eastAsia" w:ascii="宋体" w:hAnsi="宋体"/>
          <w:sz w:val="24"/>
        </w:rPr>
        <w:t>20.6.6不同投标人的投标文件由同一单位或者个人编制；</w:t>
      </w:r>
    </w:p>
    <w:p>
      <w:pPr>
        <w:pStyle w:val="27"/>
        <w:spacing w:line="360" w:lineRule="auto"/>
        <w:rPr>
          <w:rFonts w:ascii="宋体" w:hAnsi="宋体"/>
          <w:sz w:val="24"/>
        </w:rPr>
      </w:pPr>
      <w:r>
        <w:rPr>
          <w:rFonts w:hint="eastAsia" w:ascii="宋体" w:hAnsi="宋体"/>
          <w:sz w:val="24"/>
        </w:rPr>
        <w:t>20.6.7不同投标人委托同一单位或者个人办理投标事宜；</w:t>
      </w:r>
    </w:p>
    <w:p>
      <w:pPr>
        <w:pStyle w:val="27"/>
        <w:spacing w:line="360" w:lineRule="auto"/>
        <w:rPr>
          <w:rFonts w:ascii="宋体" w:hAnsi="宋体"/>
          <w:sz w:val="24"/>
        </w:rPr>
      </w:pPr>
      <w:r>
        <w:rPr>
          <w:rFonts w:hint="eastAsia" w:ascii="宋体" w:hAnsi="宋体"/>
          <w:sz w:val="24"/>
        </w:rPr>
        <w:t>20.6.8不同投标人的投标文件载明的项目管理成员或者联系人员为同一人；</w:t>
      </w:r>
    </w:p>
    <w:p>
      <w:pPr>
        <w:pStyle w:val="27"/>
        <w:spacing w:line="360" w:lineRule="auto"/>
        <w:rPr>
          <w:rFonts w:ascii="宋体" w:hAnsi="宋体"/>
          <w:sz w:val="24"/>
        </w:rPr>
      </w:pPr>
      <w:r>
        <w:rPr>
          <w:rFonts w:hint="eastAsia" w:ascii="宋体" w:hAnsi="宋体"/>
          <w:sz w:val="24"/>
        </w:rPr>
        <w:t>20.6.9不同投标人的投标文件异常一致或者投标报价呈规律性差异；</w:t>
      </w:r>
    </w:p>
    <w:p>
      <w:pPr>
        <w:pStyle w:val="27"/>
        <w:spacing w:line="360" w:lineRule="auto"/>
        <w:rPr>
          <w:rFonts w:ascii="宋体" w:hAnsi="宋体"/>
          <w:sz w:val="24"/>
        </w:rPr>
      </w:pPr>
      <w:r>
        <w:rPr>
          <w:rFonts w:hint="eastAsia" w:ascii="宋体" w:hAnsi="宋体"/>
          <w:sz w:val="24"/>
        </w:rPr>
        <w:t>20.6.10不同投标人的投标文件相互混装；</w:t>
      </w:r>
    </w:p>
    <w:p>
      <w:pPr>
        <w:pStyle w:val="27"/>
        <w:spacing w:line="360" w:lineRule="auto"/>
        <w:rPr>
          <w:rFonts w:ascii="宋体" w:hAnsi="宋体"/>
          <w:sz w:val="24"/>
        </w:rPr>
      </w:pPr>
      <w:r>
        <w:rPr>
          <w:rFonts w:hint="eastAsia" w:ascii="宋体" w:hAnsi="宋体"/>
          <w:sz w:val="24"/>
        </w:rPr>
        <w:t>20.6.11不同投标人的投标保证金从同一单位或者个人的账户转出；</w:t>
      </w:r>
    </w:p>
    <w:p>
      <w:pPr>
        <w:pStyle w:val="27"/>
        <w:spacing w:line="360" w:lineRule="auto"/>
        <w:rPr>
          <w:rFonts w:ascii="宋体" w:hAnsi="宋体"/>
          <w:sz w:val="24"/>
        </w:rPr>
      </w:pPr>
      <w:r>
        <w:rPr>
          <w:rFonts w:hint="eastAsia" w:ascii="宋体" w:hAnsi="宋体"/>
          <w:sz w:val="24"/>
        </w:rPr>
        <w:t>20.6.12按照20.3.1至20.3.4规定顺序修正，修正后的报价按照招标文件第21.2条的规定经投标人确认后产生约束力，投标人不确认的；</w:t>
      </w:r>
    </w:p>
    <w:p>
      <w:pPr>
        <w:pStyle w:val="27"/>
        <w:spacing w:line="360" w:lineRule="auto"/>
        <w:rPr>
          <w:rFonts w:ascii="宋体" w:hAnsi="宋体"/>
          <w:sz w:val="24"/>
        </w:rPr>
      </w:pPr>
      <w:r>
        <w:rPr>
          <w:rFonts w:hint="eastAsia" w:ascii="宋体" w:hAnsi="宋体"/>
          <w:sz w:val="24"/>
        </w:rPr>
        <w:t>20.6.13联合体各方在同一项目中以自己名义单独投标或者参加其他联合体投标的；</w:t>
      </w:r>
    </w:p>
    <w:p>
      <w:pPr>
        <w:pStyle w:val="27"/>
        <w:spacing w:line="360" w:lineRule="auto"/>
        <w:rPr>
          <w:rFonts w:ascii="宋体" w:hAnsi="宋体"/>
          <w:sz w:val="24"/>
        </w:rPr>
      </w:pPr>
      <w:r>
        <w:rPr>
          <w:rFonts w:hint="eastAsia" w:ascii="宋体" w:hAnsi="宋体"/>
          <w:sz w:val="24"/>
        </w:rPr>
        <w:t>20.6.14若投标人须知资料表中未写明允许采购进口产品，投标人所投产品为进口产品的；</w:t>
      </w:r>
    </w:p>
    <w:p>
      <w:pPr>
        <w:pStyle w:val="27"/>
        <w:spacing w:line="360" w:lineRule="auto"/>
        <w:rPr>
          <w:rFonts w:ascii="宋体" w:hAnsi="宋体"/>
          <w:sz w:val="24"/>
        </w:rPr>
      </w:pPr>
      <w:r>
        <w:rPr>
          <w:rFonts w:hint="eastAsia" w:ascii="宋体" w:hAnsi="宋体"/>
          <w:sz w:val="24"/>
        </w:rPr>
        <w:t>20.6.15投标人在投标过程中向采购人、采购代理机构行贿或者提供其他不正当利益的；</w:t>
      </w:r>
    </w:p>
    <w:p>
      <w:pPr>
        <w:pStyle w:val="27"/>
        <w:spacing w:line="360" w:lineRule="auto"/>
        <w:rPr>
          <w:rFonts w:ascii="宋体" w:hAnsi="宋体"/>
          <w:sz w:val="24"/>
        </w:rPr>
      </w:pPr>
      <w:r>
        <w:rPr>
          <w:rFonts w:hint="eastAsia" w:ascii="宋体" w:hAnsi="宋体"/>
          <w:sz w:val="24"/>
        </w:rPr>
        <w:t>20.6.16投标有效期不满足招标要求；</w:t>
      </w:r>
    </w:p>
    <w:p>
      <w:pPr>
        <w:pStyle w:val="27"/>
        <w:spacing w:line="360" w:lineRule="auto"/>
        <w:rPr>
          <w:rFonts w:ascii="宋体" w:hAnsi="宋体"/>
          <w:sz w:val="24"/>
        </w:rPr>
      </w:pPr>
      <w:r>
        <w:rPr>
          <w:rFonts w:hint="eastAsia" w:ascii="宋体" w:hAnsi="宋体"/>
          <w:sz w:val="24"/>
        </w:rPr>
        <w:t>20.6.17“采购需求”中“</w:t>
      </w:r>
      <w:r>
        <w:rPr>
          <w:rFonts w:hint="eastAsia" w:ascii="宋体" w:hAnsi="宋体"/>
          <w:color w:val="000000"/>
          <w:sz w:val="24"/>
        </w:rPr>
        <w:t>★</w:t>
      </w:r>
      <w:r>
        <w:rPr>
          <w:rFonts w:hint="eastAsia" w:ascii="宋体" w:hAnsi="宋体"/>
          <w:sz w:val="24"/>
        </w:rPr>
        <w:t>”指标的；</w:t>
      </w:r>
    </w:p>
    <w:p>
      <w:pPr>
        <w:pStyle w:val="27"/>
        <w:spacing w:line="360" w:lineRule="auto"/>
        <w:rPr>
          <w:rFonts w:ascii="宋体" w:hAnsi="宋体"/>
          <w:sz w:val="24"/>
        </w:rPr>
      </w:pPr>
      <w:r>
        <w:rPr>
          <w:rFonts w:hint="eastAsia" w:ascii="宋体" w:hAnsi="宋体"/>
          <w:sz w:val="24"/>
        </w:rPr>
        <w:t>20.6.18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27"/>
        <w:spacing w:line="360" w:lineRule="auto"/>
        <w:rPr>
          <w:rFonts w:ascii="宋体" w:hAnsi="宋体"/>
          <w:sz w:val="24"/>
        </w:rPr>
      </w:pPr>
      <w:r>
        <w:rPr>
          <w:rFonts w:hint="eastAsia" w:ascii="宋体" w:hAnsi="宋体"/>
          <w:sz w:val="24"/>
        </w:rPr>
        <w:t>20.6.19在评标过程中发现投标人未遵循公平竞争的原则，恶意串通，妨碍其他投标人的竞争行为，损害采购人或者其他投标人的合法权益的；</w:t>
      </w:r>
    </w:p>
    <w:p>
      <w:pPr>
        <w:pStyle w:val="27"/>
        <w:spacing w:line="360" w:lineRule="auto"/>
        <w:rPr>
          <w:rFonts w:ascii="宋体" w:hAnsi="宋体"/>
          <w:sz w:val="24"/>
        </w:rPr>
      </w:pPr>
      <w:r>
        <w:rPr>
          <w:rFonts w:hint="eastAsia" w:ascii="宋体" w:hAnsi="宋体"/>
          <w:sz w:val="24"/>
        </w:rPr>
        <w:t>20.6.20法律、法规和招标文件规定的其他无效情形。</w:t>
      </w:r>
    </w:p>
    <w:p>
      <w:pPr>
        <w:pStyle w:val="6"/>
        <w:spacing w:line="360" w:lineRule="auto"/>
        <w:rPr>
          <w:rFonts w:hint="default"/>
          <w:b/>
        </w:rPr>
      </w:pPr>
      <w:bookmarkStart w:id="198" w:name="_Toc40110917"/>
      <w:bookmarkStart w:id="199" w:name="_Toc4978"/>
      <w:r>
        <w:rPr>
          <w:b/>
          <w:bCs/>
          <w:sz w:val="24"/>
          <w:szCs w:val="24"/>
        </w:rPr>
        <w:t>21. 投标文件的澄清</w:t>
      </w:r>
      <w:bookmarkEnd w:id="195"/>
      <w:bookmarkEnd w:id="196"/>
      <w:bookmarkEnd w:id="198"/>
      <w:bookmarkEnd w:id="199"/>
    </w:p>
    <w:p>
      <w:pPr>
        <w:pStyle w:val="27"/>
        <w:spacing w:line="360" w:lineRule="auto"/>
        <w:rPr>
          <w:rFonts w:ascii="宋体" w:hAnsi="宋体"/>
          <w:sz w:val="24"/>
        </w:rPr>
      </w:pPr>
      <w:r>
        <w:rPr>
          <w:rFonts w:hint="eastAsia" w:ascii="宋体" w:hAnsi="宋体"/>
          <w:sz w:val="24"/>
        </w:rPr>
        <w:t>21.1对于投标文件中含义不明确、同类问题表述不一致或者有明显文字和计算错误的内容，评标委员会应当以书面形式要求投标人作出必要的澄清、说明或者补正。</w:t>
      </w:r>
    </w:p>
    <w:p>
      <w:pPr>
        <w:pStyle w:val="27"/>
        <w:spacing w:line="360" w:lineRule="auto"/>
        <w:rPr>
          <w:rFonts w:ascii="宋体" w:hAnsi="宋体"/>
          <w:sz w:val="24"/>
        </w:rPr>
      </w:pPr>
      <w:r>
        <w:rPr>
          <w:rFonts w:hint="eastAsia" w:ascii="宋体" w:hAnsi="宋体"/>
          <w:sz w:val="24"/>
        </w:rPr>
        <w:t>21.2投标人的澄清、说明或者补正应当采用书面形式，并加盖公章，或者由法定代表人或其授权的代表签字。投标人的澄清、说明或者补正不得超出投标文件的范围或者改变投标文件的实质性内容。</w:t>
      </w:r>
    </w:p>
    <w:p>
      <w:pPr>
        <w:pStyle w:val="27"/>
        <w:spacing w:line="360" w:lineRule="auto"/>
      </w:pPr>
      <w:r>
        <w:rPr>
          <w:rFonts w:hint="eastAsia" w:ascii="宋体" w:hAnsi="宋体"/>
          <w:sz w:val="24"/>
        </w:rPr>
        <w:t>21.3澄清文件将作为投标文件内容的一部分。</w:t>
      </w:r>
    </w:p>
    <w:bookmarkEnd w:id="197"/>
    <w:p>
      <w:pPr>
        <w:pStyle w:val="6"/>
        <w:spacing w:line="360" w:lineRule="auto"/>
        <w:rPr>
          <w:rFonts w:hint="default"/>
          <w:b/>
          <w:sz w:val="24"/>
        </w:rPr>
      </w:pPr>
      <w:bookmarkStart w:id="200" w:name="_Toc5895193"/>
      <w:bookmarkStart w:id="201" w:name="_Toc20044"/>
      <w:bookmarkStart w:id="202" w:name="_Toc40110918"/>
      <w:bookmarkStart w:id="203" w:name="_Toc310195719"/>
      <w:r>
        <w:rPr>
          <w:b/>
          <w:sz w:val="24"/>
        </w:rPr>
        <w:t>22. 评标</w:t>
      </w:r>
      <w:bookmarkEnd w:id="200"/>
      <w:bookmarkEnd w:id="201"/>
      <w:bookmarkEnd w:id="202"/>
      <w:bookmarkEnd w:id="203"/>
    </w:p>
    <w:p>
      <w:pPr>
        <w:pStyle w:val="27"/>
        <w:spacing w:line="360" w:lineRule="auto"/>
        <w:rPr>
          <w:rFonts w:ascii="宋体" w:hAnsi="宋体"/>
          <w:sz w:val="24"/>
        </w:rPr>
      </w:pPr>
      <w:r>
        <w:rPr>
          <w:rFonts w:hint="eastAsia" w:ascii="宋体" w:hAnsi="宋体"/>
          <w:sz w:val="24"/>
        </w:rPr>
        <w:t>22.1评标委员会负责具体评标事务，并独立履行下列职责：</w:t>
      </w:r>
    </w:p>
    <w:p>
      <w:pPr>
        <w:pStyle w:val="27"/>
        <w:spacing w:line="360" w:lineRule="auto"/>
        <w:rPr>
          <w:rFonts w:ascii="宋体" w:hAnsi="宋体"/>
          <w:sz w:val="24"/>
        </w:rPr>
      </w:pPr>
      <w:r>
        <w:rPr>
          <w:rFonts w:hint="eastAsia" w:ascii="宋体" w:hAnsi="宋体"/>
          <w:sz w:val="24"/>
        </w:rPr>
        <w:t>22.1.1审查、评价投标文件是否符合招标文件的商务、技术等实质性要求；</w:t>
      </w:r>
    </w:p>
    <w:p>
      <w:pPr>
        <w:pStyle w:val="27"/>
        <w:spacing w:line="360" w:lineRule="auto"/>
        <w:rPr>
          <w:rFonts w:ascii="宋体" w:hAnsi="宋体"/>
          <w:sz w:val="24"/>
        </w:rPr>
      </w:pPr>
      <w:r>
        <w:rPr>
          <w:rFonts w:hint="eastAsia" w:ascii="宋体" w:hAnsi="宋体"/>
          <w:sz w:val="24"/>
        </w:rPr>
        <w:t>22.1.2要求投标人对投标文件有关事项作出澄清或者说明；</w:t>
      </w:r>
    </w:p>
    <w:p>
      <w:pPr>
        <w:pStyle w:val="27"/>
        <w:spacing w:line="360" w:lineRule="auto"/>
        <w:rPr>
          <w:rFonts w:ascii="宋体" w:hAnsi="宋体"/>
          <w:sz w:val="24"/>
        </w:rPr>
      </w:pPr>
      <w:r>
        <w:rPr>
          <w:rFonts w:hint="eastAsia" w:ascii="宋体" w:hAnsi="宋体"/>
          <w:sz w:val="24"/>
        </w:rPr>
        <w:t>22.1.3对投标文件进行比较和评价；</w:t>
      </w:r>
    </w:p>
    <w:p>
      <w:pPr>
        <w:pStyle w:val="27"/>
        <w:spacing w:line="360" w:lineRule="auto"/>
        <w:rPr>
          <w:rFonts w:ascii="宋体" w:hAnsi="宋体"/>
          <w:sz w:val="24"/>
        </w:rPr>
      </w:pPr>
      <w:r>
        <w:rPr>
          <w:rFonts w:hint="eastAsia" w:ascii="宋体" w:hAnsi="宋体"/>
          <w:sz w:val="24"/>
        </w:rPr>
        <w:t>22.1.4确定中标候选人名单，以及根据采购人委托直接确定中标人；</w:t>
      </w:r>
    </w:p>
    <w:p>
      <w:pPr>
        <w:pStyle w:val="27"/>
        <w:spacing w:line="360" w:lineRule="auto"/>
        <w:rPr>
          <w:rFonts w:ascii="宋体" w:hAnsi="宋体"/>
          <w:sz w:val="24"/>
        </w:rPr>
      </w:pPr>
      <w:r>
        <w:rPr>
          <w:rFonts w:hint="eastAsia" w:ascii="宋体" w:hAnsi="宋体"/>
          <w:sz w:val="24"/>
        </w:rPr>
        <w:t>22.1.5向采购人、采购代理机构或者有关部门报告评标中发现的违法行为。</w:t>
      </w:r>
    </w:p>
    <w:p>
      <w:pPr>
        <w:pStyle w:val="27"/>
        <w:spacing w:line="360" w:lineRule="auto"/>
        <w:rPr>
          <w:rFonts w:ascii="宋体" w:hAnsi="宋体"/>
          <w:sz w:val="24"/>
        </w:rPr>
      </w:pPr>
      <w:r>
        <w:rPr>
          <w:rFonts w:hint="eastAsia" w:ascii="宋体" w:hAnsi="宋体"/>
          <w:sz w:val="24"/>
        </w:rPr>
        <w:t>22.2评标委员会应当按照招标文件中规定的评标方法和标准，对符合性审查合格的投标文件进行商务和技术评估，综合比较与评价。</w:t>
      </w:r>
    </w:p>
    <w:p>
      <w:pPr>
        <w:pStyle w:val="27"/>
        <w:spacing w:line="360" w:lineRule="auto"/>
        <w:rPr>
          <w:rFonts w:ascii="宋体" w:hAnsi="宋体"/>
          <w:sz w:val="24"/>
        </w:rPr>
      </w:pPr>
      <w:r>
        <w:rPr>
          <w:rFonts w:hint="eastAsia" w:ascii="宋体" w:hAnsi="宋体"/>
          <w:sz w:val="24"/>
        </w:rPr>
        <w:t>22.3综合评分法：</w:t>
      </w:r>
    </w:p>
    <w:p>
      <w:pPr>
        <w:pStyle w:val="27"/>
        <w:spacing w:line="360" w:lineRule="auto"/>
        <w:rPr>
          <w:rFonts w:ascii="宋体" w:hAnsi="宋体"/>
          <w:sz w:val="24"/>
        </w:rPr>
      </w:pPr>
      <w:r>
        <w:rPr>
          <w:rFonts w:hint="eastAsia" w:ascii="宋体" w:hAnsi="宋体"/>
          <w:sz w:val="24"/>
        </w:rPr>
        <w:t>综合评分法，是指投标文件满足招标文件全部实质性要求，且按照评审因素的量化指标评审得分最高的投标人为中标候选人的评标方法。</w:t>
      </w:r>
    </w:p>
    <w:p>
      <w:pPr>
        <w:pStyle w:val="27"/>
        <w:spacing w:line="360" w:lineRule="auto"/>
        <w:rPr>
          <w:rFonts w:ascii="宋体" w:hAnsi="宋体"/>
          <w:sz w:val="24"/>
        </w:rPr>
      </w:pPr>
      <w:r>
        <w:rPr>
          <w:rFonts w:hint="eastAsia" w:ascii="宋体" w:hAnsi="宋体"/>
          <w:sz w:val="24"/>
        </w:rPr>
        <w:t>22.4评标时，评标委员会各成员应当独立对每个投标人的投标文件进行评价，并汇总每个投标人的得分。</w:t>
      </w:r>
    </w:p>
    <w:p>
      <w:pPr>
        <w:pStyle w:val="6"/>
        <w:spacing w:line="360" w:lineRule="auto"/>
        <w:rPr>
          <w:rFonts w:hint="default"/>
          <w:b/>
          <w:sz w:val="24"/>
        </w:rPr>
      </w:pPr>
      <w:bookmarkStart w:id="204" w:name="_Toc520356168"/>
      <w:bookmarkStart w:id="205" w:name="_Toc5895194"/>
      <w:bookmarkStart w:id="206" w:name="_Toc40110919"/>
      <w:bookmarkStart w:id="207" w:name="_Toc11315"/>
      <w:bookmarkStart w:id="208" w:name="_Toc310195720"/>
      <w:r>
        <w:rPr>
          <w:b/>
          <w:sz w:val="24"/>
        </w:rPr>
        <w:t>2</w:t>
      </w:r>
      <w:bookmarkEnd w:id="204"/>
      <w:r>
        <w:rPr>
          <w:b/>
          <w:sz w:val="24"/>
        </w:rPr>
        <w:t>3.评标过程及保密原则</w:t>
      </w:r>
      <w:bookmarkEnd w:id="205"/>
      <w:bookmarkEnd w:id="206"/>
      <w:bookmarkEnd w:id="207"/>
      <w:bookmarkEnd w:id="208"/>
    </w:p>
    <w:p>
      <w:pPr>
        <w:pStyle w:val="27"/>
        <w:spacing w:line="360" w:lineRule="auto"/>
        <w:rPr>
          <w:rFonts w:ascii="宋体" w:hAnsi="宋体"/>
          <w:sz w:val="24"/>
        </w:rPr>
      </w:pPr>
      <w:r>
        <w:rPr>
          <w:rFonts w:hint="eastAsia" w:ascii="宋体" w:hAnsi="宋体"/>
          <w:sz w:val="24"/>
        </w:rPr>
        <w:t>23.1政府采购评审专家应当遵守评审工作纪律，不得泄露评审文件、评审情况和评审中获悉的商业秘密。</w:t>
      </w:r>
    </w:p>
    <w:p>
      <w:pPr>
        <w:pStyle w:val="27"/>
        <w:spacing w:line="360" w:lineRule="auto"/>
        <w:rPr>
          <w:rFonts w:ascii="宋体" w:hAnsi="宋体"/>
          <w:sz w:val="24"/>
        </w:rPr>
      </w:pPr>
      <w:r>
        <w:rPr>
          <w:rFonts w:hint="eastAsia" w:ascii="宋体" w:hAnsi="宋体"/>
          <w:sz w:val="24"/>
        </w:rPr>
        <w:t>23.2评标委员会成员名单在评标结果公告前应当保密。</w:t>
      </w:r>
    </w:p>
    <w:p>
      <w:pPr>
        <w:pStyle w:val="27"/>
        <w:spacing w:line="360" w:lineRule="auto"/>
        <w:rPr>
          <w:rFonts w:ascii="宋体" w:hAnsi="宋体"/>
          <w:sz w:val="24"/>
        </w:rPr>
      </w:pPr>
      <w:r>
        <w:rPr>
          <w:rFonts w:hint="eastAsia" w:ascii="宋体" w:hAnsi="宋体"/>
          <w:sz w:val="24"/>
        </w:rPr>
        <w:t>23.3采购人、采购代理机构应当采取必要措施，保证评标在严格保密的情况下进行。除采购人代表、评标现场组织人员外，采购人的其他工作人员以及与评标工作无关的人员不得进入评标现场。</w:t>
      </w:r>
    </w:p>
    <w:p>
      <w:pPr>
        <w:pStyle w:val="27"/>
        <w:spacing w:line="360" w:lineRule="auto"/>
        <w:rPr>
          <w:rFonts w:ascii="宋体" w:hAnsi="宋体"/>
          <w:sz w:val="24"/>
        </w:rPr>
      </w:pPr>
      <w:r>
        <w:rPr>
          <w:rFonts w:hint="eastAsia" w:ascii="宋体" w:hAnsi="宋体"/>
          <w:sz w:val="24"/>
        </w:rPr>
        <w:t>23.4有关人员对评标情况以及在评标过程中获悉的国家秘密、商业秘密负有保密责任。</w:t>
      </w:r>
    </w:p>
    <w:p>
      <w:pPr>
        <w:pStyle w:val="27"/>
        <w:spacing w:line="360" w:lineRule="auto"/>
        <w:jc w:val="center"/>
        <w:rPr>
          <w:rFonts w:ascii="宋体" w:hAnsi="宋体"/>
          <w:sz w:val="24"/>
        </w:rPr>
      </w:pPr>
      <w:r>
        <w:rPr>
          <w:rFonts w:hint="eastAsia" w:ascii="宋体" w:hAnsi="宋体"/>
          <w:sz w:val="24"/>
        </w:rPr>
        <w:t xml:space="preserve">                                   </w:t>
      </w:r>
    </w:p>
    <w:p>
      <w:pPr>
        <w:pStyle w:val="6"/>
        <w:tabs>
          <w:tab w:val="left" w:pos="900"/>
        </w:tabs>
        <w:spacing w:line="360" w:lineRule="auto"/>
        <w:jc w:val="center"/>
        <w:rPr>
          <w:rFonts w:hint="default"/>
          <w:sz w:val="24"/>
        </w:rPr>
      </w:pPr>
      <w:bookmarkStart w:id="209" w:name="_Toc520356169"/>
      <w:bookmarkStart w:id="210" w:name="_Toc310195721"/>
      <w:bookmarkStart w:id="211" w:name="_Toc40110920"/>
      <w:bookmarkStart w:id="212" w:name="_Toc18827"/>
      <w:bookmarkStart w:id="213" w:name="_Toc5895195"/>
      <w:bookmarkStart w:id="214" w:name="_Toc21580"/>
      <w:r>
        <w:rPr>
          <w:sz w:val="24"/>
        </w:rPr>
        <w:t>六</w:t>
      </w:r>
      <w:bookmarkEnd w:id="209"/>
      <w:r>
        <w:rPr>
          <w:sz w:val="24"/>
        </w:rPr>
        <w:t xml:space="preserve"> 确定中标</w:t>
      </w:r>
      <w:bookmarkEnd w:id="210"/>
      <w:bookmarkEnd w:id="211"/>
      <w:bookmarkEnd w:id="212"/>
      <w:bookmarkEnd w:id="213"/>
      <w:bookmarkEnd w:id="214"/>
    </w:p>
    <w:p>
      <w:pPr>
        <w:pStyle w:val="6"/>
        <w:spacing w:line="360" w:lineRule="auto"/>
        <w:rPr>
          <w:rFonts w:hint="default"/>
          <w:b/>
          <w:sz w:val="24"/>
        </w:rPr>
      </w:pPr>
      <w:bookmarkStart w:id="215" w:name="_Toc520356170"/>
      <w:bookmarkStart w:id="216" w:name="_Ref467307010"/>
      <w:bookmarkStart w:id="217" w:name="_Toc310195722"/>
      <w:bookmarkStart w:id="218" w:name="_Toc40110921"/>
      <w:bookmarkStart w:id="219" w:name="_Toc25866"/>
      <w:bookmarkStart w:id="220" w:name="_Toc5895196"/>
      <w:r>
        <w:rPr>
          <w:b/>
          <w:sz w:val="24"/>
        </w:rPr>
        <w:t>24.中标人的确定标准</w:t>
      </w:r>
      <w:bookmarkEnd w:id="215"/>
      <w:bookmarkEnd w:id="216"/>
      <w:bookmarkEnd w:id="217"/>
      <w:bookmarkEnd w:id="218"/>
      <w:bookmarkEnd w:id="219"/>
      <w:bookmarkEnd w:id="220"/>
    </w:p>
    <w:p>
      <w:pPr>
        <w:pStyle w:val="27"/>
        <w:spacing w:line="360" w:lineRule="auto"/>
        <w:rPr>
          <w:rFonts w:ascii="宋体" w:hAnsi="宋体"/>
          <w:sz w:val="24"/>
        </w:rPr>
      </w:pPr>
      <w:r>
        <w:rPr>
          <w:rFonts w:hint="eastAsia" w:ascii="宋体" w:hAnsi="宋体"/>
          <w:sz w:val="24"/>
        </w:rPr>
        <w:t>24.1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7"/>
        <w:spacing w:line="360" w:lineRule="auto"/>
        <w:rPr>
          <w:rFonts w:ascii="宋体" w:hAnsi="宋体"/>
          <w:sz w:val="24"/>
        </w:rPr>
      </w:pPr>
      <w:r>
        <w:rPr>
          <w:rFonts w:hint="eastAsia" w:ascii="宋体" w:hAnsi="宋体"/>
          <w:sz w:val="24"/>
        </w:rPr>
        <w:t>24.2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spacing w:line="360" w:lineRule="auto"/>
        <w:rPr>
          <w:rFonts w:ascii="宋体" w:hAnsi="宋体"/>
          <w:sz w:val="24"/>
        </w:rPr>
      </w:pPr>
      <w:r>
        <w:rPr>
          <w:rFonts w:hint="eastAsia" w:ascii="宋体" w:hAnsi="宋体"/>
          <w:sz w:val="24"/>
        </w:rPr>
        <w:t>24.3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6"/>
        <w:spacing w:line="360" w:lineRule="auto"/>
        <w:rPr>
          <w:rFonts w:hint="default"/>
          <w:b/>
          <w:sz w:val="24"/>
        </w:rPr>
      </w:pPr>
      <w:bookmarkStart w:id="221" w:name="_Toc40110922"/>
      <w:bookmarkStart w:id="222" w:name="_Toc5895197"/>
      <w:bookmarkStart w:id="223" w:name="_Toc520356173"/>
      <w:bookmarkStart w:id="224" w:name="_Toc11758"/>
      <w:bookmarkStart w:id="225" w:name="_Ref467306874"/>
      <w:bookmarkStart w:id="226" w:name="_Toc310195723"/>
      <w:r>
        <w:rPr>
          <w:b/>
          <w:sz w:val="24"/>
        </w:rPr>
        <w:t>25.接受</w:t>
      </w:r>
      <w:r>
        <w:rPr>
          <w:b/>
          <w:sz w:val="24"/>
          <w:lang w:val="en-US"/>
        </w:rPr>
        <w:t>或</w:t>
      </w:r>
      <w:r>
        <w:rPr>
          <w:b/>
          <w:sz w:val="24"/>
        </w:rPr>
        <w:t>拒绝任何投标的权利</w:t>
      </w:r>
      <w:bookmarkEnd w:id="221"/>
      <w:bookmarkEnd w:id="222"/>
      <w:bookmarkEnd w:id="223"/>
      <w:bookmarkEnd w:id="224"/>
      <w:bookmarkEnd w:id="225"/>
      <w:bookmarkEnd w:id="226"/>
    </w:p>
    <w:p>
      <w:pPr>
        <w:pStyle w:val="27"/>
        <w:spacing w:line="360" w:lineRule="auto"/>
        <w:rPr>
          <w:rFonts w:ascii="宋体" w:hAnsi="宋体"/>
          <w:sz w:val="24"/>
        </w:rPr>
      </w:pPr>
      <w:r>
        <w:rPr>
          <w:rFonts w:ascii="宋体" w:hAnsi="宋体"/>
          <w:sz w:val="24"/>
        </w:rPr>
        <w:t>25.1为维护国家和社会公共利益，采购人和采购代理机构保留在授标之前任何时候接受或拒绝任何投标的权利，且对受影响的投标人</w:t>
      </w:r>
      <w:r>
        <w:rPr>
          <w:rFonts w:hint="eastAsia" w:ascii="宋体" w:hAnsi="宋体"/>
          <w:sz w:val="24"/>
        </w:rPr>
        <w:t>不承担任何责任。</w:t>
      </w:r>
    </w:p>
    <w:p>
      <w:pPr>
        <w:pStyle w:val="27"/>
        <w:spacing w:line="360" w:lineRule="auto"/>
        <w:rPr>
          <w:rFonts w:ascii="宋体" w:hAnsi="宋体"/>
          <w:sz w:val="24"/>
        </w:rPr>
      </w:pPr>
      <w:r>
        <w:rPr>
          <w:rFonts w:ascii="宋体" w:hAnsi="宋体"/>
          <w:sz w:val="24"/>
        </w:rPr>
        <w:t>25.2因不可抗力或中标人自身原因不能履约等情形，采购人保留与其他候选人签订合同的权利。</w:t>
      </w:r>
    </w:p>
    <w:p>
      <w:pPr>
        <w:pStyle w:val="6"/>
        <w:spacing w:line="360" w:lineRule="auto"/>
        <w:rPr>
          <w:rFonts w:hint="default"/>
          <w:b/>
          <w:sz w:val="24"/>
          <w:lang w:val="en-US"/>
        </w:rPr>
      </w:pPr>
      <w:bookmarkStart w:id="227" w:name="_Toc310195724"/>
      <w:bookmarkStart w:id="228" w:name="_Toc520356174"/>
      <w:bookmarkStart w:id="229" w:name="_Toc40110923"/>
      <w:bookmarkStart w:id="230" w:name="_Toc24394"/>
      <w:bookmarkStart w:id="231" w:name="_Toc5895198"/>
      <w:r>
        <w:rPr>
          <w:b/>
          <w:sz w:val="24"/>
        </w:rPr>
        <w:t>26.中标通知书</w:t>
      </w:r>
      <w:bookmarkEnd w:id="227"/>
      <w:bookmarkEnd w:id="228"/>
      <w:r>
        <w:rPr>
          <w:b/>
          <w:sz w:val="24"/>
          <w:lang w:val="en-US"/>
        </w:rPr>
        <w:t>和结果</w:t>
      </w:r>
      <w:r>
        <w:rPr>
          <w:b/>
          <w:sz w:val="24"/>
        </w:rPr>
        <w:t>通知</w:t>
      </w:r>
      <w:bookmarkEnd w:id="229"/>
      <w:bookmarkEnd w:id="230"/>
      <w:bookmarkEnd w:id="231"/>
    </w:p>
    <w:p>
      <w:pPr>
        <w:pStyle w:val="27"/>
        <w:spacing w:line="360" w:lineRule="auto"/>
        <w:rPr>
          <w:rFonts w:ascii="宋体" w:hAnsi="宋体"/>
          <w:sz w:val="24"/>
        </w:rPr>
      </w:pPr>
      <w:bookmarkStart w:id="232" w:name="_Ref467306978"/>
      <w:bookmarkStart w:id="233" w:name="_Toc520356175"/>
      <w:bookmarkStart w:id="234" w:name="_Ref467307062"/>
      <w:bookmarkStart w:id="235" w:name="_Ref467306377"/>
      <w:bookmarkStart w:id="236" w:name="_Toc5895199"/>
      <w:bookmarkStart w:id="237" w:name="_Toc310195725"/>
      <w:bookmarkStart w:id="238" w:name="_Ref467307204"/>
      <w:r>
        <w:rPr>
          <w:rFonts w:hint="eastAsia" w:ascii="宋体" w:hAnsi="宋体"/>
          <w:sz w:val="24"/>
        </w:rPr>
        <w:t>26.1采购人或者采购代理机构应当自中标人确定之日起2个工作日内，在省级以上财政部门指定的媒体上公告中标结果，招标文件应当随中标结果同时公告。</w:t>
      </w:r>
    </w:p>
    <w:p>
      <w:pPr>
        <w:pStyle w:val="27"/>
        <w:spacing w:line="360" w:lineRule="auto"/>
        <w:rPr>
          <w:rFonts w:ascii="宋体" w:hAnsi="宋体"/>
          <w:sz w:val="24"/>
        </w:rPr>
      </w:pPr>
      <w:r>
        <w:rPr>
          <w:rFonts w:hint="eastAsia" w:ascii="宋体" w:hAnsi="宋体"/>
          <w:sz w:val="24"/>
        </w:rPr>
        <w:t>26.2中标公告期限为1个工作日。</w:t>
      </w:r>
    </w:p>
    <w:p>
      <w:pPr>
        <w:pStyle w:val="27"/>
        <w:spacing w:line="360" w:lineRule="auto"/>
        <w:rPr>
          <w:rFonts w:ascii="宋体" w:hAnsi="宋体"/>
          <w:sz w:val="24"/>
        </w:rPr>
      </w:pPr>
      <w:r>
        <w:rPr>
          <w:rFonts w:hint="eastAsia" w:ascii="宋体" w:hAnsi="宋体"/>
          <w:sz w:val="24"/>
        </w:rPr>
        <w:t>26.3中标通知书是合同的组成部分。</w:t>
      </w:r>
    </w:p>
    <w:p>
      <w:pPr>
        <w:pStyle w:val="27"/>
        <w:spacing w:line="360" w:lineRule="auto"/>
        <w:rPr>
          <w:rFonts w:ascii="宋体" w:hAnsi="宋体"/>
          <w:sz w:val="24"/>
        </w:rPr>
      </w:pPr>
      <w:r>
        <w:rPr>
          <w:rFonts w:hint="eastAsia" w:ascii="宋体" w:hAnsi="宋体"/>
          <w:sz w:val="24"/>
        </w:rPr>
        <w:t>26.4未中标的投标人应当在中标结果公示后5个工作日内领取结果通知书。</w:t>
      </w:r>
    </w:p>
    <w:p>
      <w:pPr>
        <w:pStyle w:val="6"/>
        <w:spacing w:line="360" w:lineRule="auto"/>
        <w:rPr>
          <w:rFonts w:hint="default"/>
          <w:b/>
          <w:color w:val="000000" w:themeColor="text1"/>
          <w:sz w:val="24"/>
          <w14:textFill>
            <w14:solidFill>
              <w14:schemeClr w14:val="tx1"/>
            </w14:solidFill>
          </w14:textFill>
        </w:rPr>
      </w:pPr>
      <w:bookmarkStart w:id="239" w:name="_Toc19591"/>
      <w:bookmarkStart w:id="240" w:name="_Toc40110924"/>
      <w:r>
        <w:rPr>
          <w:b/>
          <w:color w:val="000000" w:themeColor="text1"/>
          <w:sz w:val="24"/>
          <w14:textFill>
            <w14:solidFill>
              <w14:schemeClr w14:val="tx1"/>
            </w14:solidFill>
          </w14:textFill>
        </w:rPr>
        <w:t>27. 签订合同</w:t>
      </w:r>
      <w:bookmarkEnd w:id="232"/>
      <w:bookmarkEnd w:id="233"/>
      <w:bookmarkEnd w:id="234"/>
      <w:bookmarkEnd w:id="235"/>
      <w:bookmarkEnd w:id="236"/>
      <w:bookmarkEnd w:id="237"/>
      <w:bookmarkEnd w:id="238"/>
      <w:bookmarkEnd w:id="239"/>
      <w:bookmarkEnd w:id="240"/>
    </w:p>
    <w:p>
      <w:pPr>
        <w:pStyle w:val="27"/>
        <w:spacing w:line="360" w:lineRule="auto"/>
        <w:rPr>
          <w:rFonts w:ascii="宋体" w:hAnsi="宋体"/>
          <w:sz w:val="24"/>
        </w:rPr>
      </w:pPr>
      <w:bookmarkStart w:id="241" w:name="_Toc310195726"/>
      <w:bookmarkStart w:id="242" w:name="_Toc5895200"/>
      <w:r>
        <w:rPr>
          <w:rFonts w:hint="eastAsia" w:ascii="宋体" w:hAnsi="宋体"/>
          <w:sz w:val="24"/>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7"/>
        <w:spacing w:line="360" w:lineRule="auto"/>
        <w:rPr>
          <w:rFonts w:ascii="宋体" w:hAnsi="宋体"/>
          <w:sz w:val="24"/>
        </w:rPr>
      </w:pPr>
      <w:r>
        <w:rPr>
          <w:rFonts w:hint="eastAsia" w:ascii="宋体" w:hAnsi="宋体"/>
          <w:sz w:val="24"/>
        </w:rPr>
        <w:t>27.2招标文件、中标人的投标文件及其澄清文件等，均为签订合同的依据。</w:t>
      </w:r>
    </w:p>
    <w:p>
      <w:pPr>
        <w:pStyle w:val="6"/>
        <w:spacing w:line="360" w:lineRule="auto"/>
        <w:rPr>
          <w:rFonts w:hint="default"/>
          <w:b/>
          <w:color w:val="000000" w:themeColor="text1"/>
          <w:sz w:val="24"/>
          <w14:textFill>
            <w14:solidFill>
              <w14:schemeClr w14:val="tx1"/>
            </w14:solidFill>
          </w14:textFill>
        </w:rPr>
      </w:pPr>
      <w:bookmarkStart w:id="243" w:name="_Toc40110925"/>
      <w:bookmarkStart w:id="244" w:name="_Toc20625"/>
      <w:r>
        <w:rPr>
          <w:b/>
          <w:color w:val="000000" w:themeColor="text1"/>
          <w:sz w:val="24"/>
          <w14:textFill>
            <w14:solidFill>
              <w14:schemeClr w14:val="tx1"/>
            </w14:solidFill>
          </w14:textFill>
        </w:rPr>
        <w:t>28.履约保证金</w:t>
      </w:r>
      <w:bookmarkEnd w:id="241"/>
      <w:bookmarkEnd w:id="242"/>
      <w:bookmarkEnd w:id="243"/>
      <w:bookmarkEnd w:id="244"/>
    </w:p>
    <w:p>
      <w:pPr>
        <w:spacing w:before="120" w:line="360" w:lineRule="auto"/>
        <w:rPr>
          <w:rFonts w:ascii="宋体" w:hAnsi="宋体"/>
          <w:sz w:val="24"/>
        </w:rPr>
      </w:pPr>
      <w:bookmarkStart w:id="245" w:name="_Toc520647611"/>
      <w:bookmarkStart w:id="246" w:name="_Toc518803443"/>
      <w:bookmarkStart w:id="247" w:name="_Toc520424502"/>
      <w:r>
        <w:rPr>
          <w:rFonts w:hint="eastAsia" w:ascii="宋体" w:hAnsi="宋体"/>
          <w:sz w:val="24"/>
        </w:rPr>
        <w:t>28.1提交履约保证金的时间：详见投标人须知资料表。</w:t>
      </w:r>
    </w:p>
    <w:p>
      <w:pPr>
        <w:spacing w:before="120" w:line="360" w:lineRule="auto"/>
        <w:rPr>
          <w:rFonts w:ascii="宋体" w:hAnsi="宋体"/>
          <w:sz w:val="24"/>
        </w:rPr>
      </w:pPr>
      <w:r>
        <w:rPr>
          <w:rFonts w:hint="eastAsia" w:ascii="宋体" w:hAnsi="宋体"/>
          <w:sz w:val="24"/>
        </w:rPr>
        <w:t>28.1.1履约保证金用于补偿采购人因中标人不能履行其合同义务而蒙受的损失。</w:t>
      </w:r>
    </w:p>
    <w:p>
      <w:pPr>
        <w:spacing w:before="120" w:line="360" w:lineRule="auto"/>
        <w:rPr>
          <w:rFonts w:ascii="宋体" w:hAnsi="宋体"/>
          <w:sz w:val="24"/>
        </w:rPr>
      </w:pPr>
      <w:r>
        <w:rPr>
          <w:rFonts w:hint="eastAsia" w:ascii="宋体" w:hAnsi="宋体"/>
          <w:sz w:val="24"/>
        </w:rPr>
        <w:t xml:space="preserve">28.1.2提交履约保证金形式：支票、汇票、本票或者金融机构、担保机构出具的保函等非现金形式。 </w:t>
      </w:r>
    </w:p>
    <w:p>
      <w:pPr>
        <w:spacing w:before="120" w:line="360" w:lineRule="auto"/>
        <w:rPr>
          <w:rFonts w:ascii="宋体" w:hAnsi="宋体"/>
          <w:sz w:val="24"/>
        </w:rPr>
      </w:pPr>
      <w:r>
        <w:rPr>
          <w:rFonts w:hint="eastAsia" w:ascii="宋体" w:hAnsi="宋体"/>
          <w:sz w:val="24"/>
        </w:rPr>
        <w:t>28.1.3履约保证金在法定的服务质量保证期期满前应完全有效。</w:t>
      </w:r>
    </w:p>
    <w:p>
      <w:pPr>
        <w:spacing w:before="120" w:line="360" w:lineRule="auto"/>
        <w:rPr>
          <w:rFonts w:ascii="宋体" w:hAnsi="宋体"/>
          <w:sz w:val="24"/>
        </w:rPr>
      </w:pPr>
      <w:r>
        <w:rPr>
          <w:rFonts w:hint="eastAsia" w:ascii="宋体" w:hAnsi="宋体"/>
          <w:sz w:val="24"/>
        </w:rPr>
        <w:t>28.1.4如果中标人未能按合同规定履行其义务，采购人有权从履约保证金中取得补偿。</w:t>
      </w:r>
    </w:p>
    <w:p>
      <w:pPr>
        <w:spacing w:before="120" w:line="360" w:lineRule="auto"/>
        <w:rPr>
          <w:rFonts w:ascii="宋体" w:hAnsi="宋体"/>
          <w:sz w:val="24"/>
        </w:rPr>
      </w:pPr>
      <w:r>
        <w:rPr>
          <w:rFonts w:hint="eastAsia" w:ascii="宋体" w:hAnsi="宋体"/>
          <w:sz w:val="24"/>
        </w:rPr>
        <w:t>28.2如果中标人没有按照上述第27条的规定执行，采购人和采购代理机构将取消该中标决定，该中标人的投标保证金不予返还，同时将结果报政府采购监督管理部门备案。采购人和采购代理机构可将中标结果授予下一个中标人候选人，或重新招标。</w:t>
      </w:r>
    </w:p>
    <w:p>
      <w:pPr>
        <w:pStyle w:val="6"/>
        <w:spacing w:line="360" w:lineRule="auto"/>
        <w:ind w:left="899" w:hanging="899"/>
        <w:jc w:val="center"/>
        <w:rPr>
          <w:rFonts w:hint="default"/>
          <w:sz w:val="24"/>
        </w:rPr>
      </w:pPr>
      <w:bookmarkStart w:id="248" w:name="_Toc310195727"/>
      <w:bookmarkStart w:id="249" w:name="_Toc20259"/>
      <w:bookmarkStart w:id="250" w:name="_Toc12837"/>
      <w:bookmarkStart w:id="251" w:name="_Toc5895201"/>
      <w:bookmarkStart w:id="252" w:name="_Toc40110926"/>
      <w:r>
        <w:rPr>
          <w:sz w:val="24"/>
        </w:rPr>
        <w:t>七 中标服务费</w:t>
      </w:r>
      <w:bookmarkEnd w:id="245"/>
      <w:bookmarkEnd w:id="246"/>
      <w:bookmarkEnd w:id="247"/>
      <w:bookmarkEnd w:id="248"/>
      <w:bookmarkEnd w:id="249"/>
      <w:bookmarkEnd w:id="250"/>
      <w:bookmarkEnd w:id="251"/>
      <w:bookmarkEnd w:id="252"/>
    </w:p>
    <w:p>
      <w:pPr>
        <w:pStyle w:val="6"/>
        <w:spacing w:line="360" w:lineRule="auto"/>
        <w:rPr>
          <w:rFonts w:hint="default"/>
          <w:b/>
          <w:sz w:val="24"/>
        </w:rPr>
      </w:pPr>
      <w:bookmarkStart w:id="253" w:name="_Toc5895202"/>
      <w:bookmarkStart w:id="254" w:name="_Toc518803444"/>
      <w:bookmarkStart w:id="255" w:name="_Toc40110927"/>
      <w:bookmarkStart w:id="256" w:name="_Ref467306463"/>
      <w:bookmarkStart w:id="257" w:name="_Toc4484"/>
      <w:bookmarkStart w:id="258" w:name="_Toc520647612"/>
      <w:bookmarkStart w:id="259" w:name="_Toc310195728"/>
      <w:bookmarkStart w:id="260" w:name="_Toc520424503"/>
      <w:r>
        <w:rPr>
          <w:b/>
          <w:sz w:val="24"/>
        </w:rPr>
        <w:t>29.中标服务费</w:t>
      </w:r>
      <w:bookmarkEnd w:id="253"/>
      <w:bookmarkEnd w:id="254"/>
      <w:bookmarkEnd w:id="255"/>
      <w:bookmarkEnd w:id="256"/>
      <w:bookmarkEnd w:id="257"/>
      <w:bookmarkEnd w:id="258"/>
      <w:bookmarkEnd w:id="259"/>
      <w:bookmarkEnd w:id="260"/>
    </w:p>
    <w:p>
      <w:pPr>
        <w:pStyle w:val="27"/>
        <w:spacing w:line="360" w:lineRule="auto"/>
        <w:rPr>
          <w:rFonts w:ascii="宋体" w:hAnsi="宋体"/>
          <w:sz w:val="24"/>
        </w:rPr>
      </w:pPr>
      <w:bookmarkStart w:id="261" w:name="_Ref467307288"/>
      <w:bookmarkStart w:id="262" w:name="_Toc5895203"/>
      <w:bookmarkStart w:id="263" w:name="_Toc40110928"/>
      <w:r>
        <w:rPr>
          <w:rFonts w:hint="eastAsia" w:ascii="宋体" w:hAnsi="宋体"/>
          <w:sz w:val="24"/>
        </w:rPr>
        <w:t>29.1</w:t>
      </w:r>
      <w:bookmarkEnd w:id="261"/>
      <w:r>
        <w:rPr>
          <w:rFonts w:hint="eastAsia" w:ascii="宋体" w:hAnsi="宋体"/>
          <w:sz w:val="24"/>
        </w:rPr>
        <w:t>采购代理机构参照原计价格[2002]1980号文、</w:t>
      </w:r>
      <w:r>
        <w:rPr>
          <w:rFonts w:hint="eastAsia" w:ascii="宋体" w:hAnsi="宋体" w:cs="宋体"/>
          <w:kern w:val="0"/>
          <w:sz w:val="24"/>
        </w:rPr>
        <w:t>发改办价格[2003]857号文及</w:t>
      </w:r>
      <w:r>
        <w:rPr>
          <w:rFonts w:ascii="宋体" w:hAnsi="宋体" w:cs="宋体"/>
          <w:kern w:val="0"/>
          <w:sz w:val="24"/>
        </w:rPr>
        <w:t>发改价格</w:t>
      </w:r>
      <w:r>
        <w:rPr>
          <w:rFonts w:ascii="宋体" w:hAnsi="宋体"/>
          <w:kern w:val="0"/>
          <w:sz w:val="24"/>
        </w:rPr>
        <w:t>[2011]534</w:t>
      </w:r>
      <w:r>
        <w:rPr>
          <w:rFonts w:ascii="宋体" w:hAnsi="宋体" w:cs="宋体"/>
          <w:kern w:val="0"/>
          <w:sz w:val="24"/>
        </w:rPr>
        <w:t>号</w:t>
      </w:r>
      <w:r>
        <w:rPr>
          <w:rFonts w:hint="eastAsia" w:ascii="宋体" w:hAnsi="宋体" w:cs="宋体"/>
          <w:kern w:val="0"/>
          <w:sz w:val="24"/>
        </w:rPr>
        <w:t>文有关规定向中标人收取</w:t>
      </w:r>
      <w:r>
        <w:rPr>
          <w:rFonts w:hint="eastAsia" w:ascii="宋体" w:hAnsi="宋体"/>
          <w:sz w:val="24"/>
        </w:rPr>
        <w:t>中标服务费用。此项费用不单独开列而应计入投标价。</w:t>
      </w:r>
    </w:p>
    <w:p>
      <w:pPr>
        <w:pStyle w:val="27"/>
        <w:spacing w:line="360" w:lineRule="auto"/>
        <w:rPr>
          <w:rFonts w:ascii="宋体" w:hAnsi="宋体"/>
          <w:sz w:val="24"/>
        </w:rPr>
      </w:pPr>
      <w:bookmarkStart w:id="264" w:name="_Ref467307311"/>
      <w:r>
        <w:rPr>
          <w:rFonts w:hint="eastAsia" w:ascii="宋体" w:hAnsi="宋体"/>
          <w:sz w:val="24"/>
        </w:rPr>
        <w:t>29.2中标人在领取中标通知书时向采购代理机构一次性缴付中标服务费。</w:t>
      </w:r>
      <w:bookmarkEnd w:id="264"/>
    </w:p>
    <w:p>
      <w:pPr>
        <w:pStyle w:val="27"/>
        <w:spacing w:line="360" w:lineRule="auto"/>
        <w:rPr>
          <w:rFonts w:ascii="宋体" w:hAnsi="宋体"/>
          <w:sz w:val="24"/>
        </w:rPr>
      </w:pPr>
      <w:r>
        <w:rPr>
          <w:rFonts w:hint="eastAsia" w:ascii="宋体" w:hAnsi="宋体"/>
          <w:sz w:val="24"/>
        </w:rPr>
        <w:t>29.3中标服务费将以支票或电汇的方式收取。</w:t>
      </w:r>
    </w:p>
    <w:p>
      <w:pPr>
        <w:pStyle w:val="27"/>
        <w:spacing w:line="360" w:lineRule="auto"/>
      </w:pPr>
      <w:r>
        <w:rPr>
          <w:rFonts w:hint="eastAsia" w:ascii="宋体" w:hAnsi="宋体"/>
          <w:sz w:val="24"/>
        </w:rPr>
        <w:t>29.4在投标时，投标人应提供中标服务费承诺书。</w:t>
      </w:r>
    </w:p>
    <w:p>
      <w:pPr>
        <w:pStyle w:val="6"/>
        <w:spacing w:line="360" w:lineRule="auto"/>
        <w:ind w:left="899" w:hanging="899"/>
        <w:jc w:val="center"/>
        <w:rPr>
          <w:rFonts w:hint="default"/>
          <w:sz w:val="24"/>
          <w:szCs w:val="24"/>
        </w:rPr>
      </w:pPr>
      <w:bookmarkStart w:id="265" w:name="_Toc16567"/>
      <w:bookmarkStart w:id="266" w:name="_Toc16261"/>
      <w:r>
        <w:rPr>
          <w:sz w:val="24"/>
          <w:szCs w:val="24"/>
        </w:rPr>
        <w:t>八 履约验收</w:t>
      </w:r>
      <w:bookmarkEnd w:id="262"/>
      <w:bookmarkEnd w:id="263"/>
      <w:bookmarkEnd w:id="265"/>
      <w:bookmarkEnd w:id="266"/>
    </w:p>
    <w:p>
      <w:pPr>
        <w:pStyle w:val="6"/>
        <w:spacing w:line="360" w:lineRule="auto"/>
        <w:rPr>
          <w:rFonts w:hint="default"/>
          <w:b/>
          <w:sz w:val="24"/>
        </w:rPr>
      </w:pPr>
      <w:bookmarkStart w:id="267" w:name="_Toc40110929"/>
      <w:bookmarkStart w:id="268" w:name="_Toc5895204"/>
      <w:bookmarkStart w:id="269" w:name="_Toc2006"/>
      <w:r>
        <w:rPr>
          <w:b/>
          <w:sz w:val="24"/>
        </w:rPr>
        <w:t>30.履约验收</w:t>
      </w:r>
      <w:bookmarkEnd w:id="267"/>
      <w:bookmarkEnd w:id="268"/>
      <w:bookmarkEnd w:id="269"/>
    </w:p>
    <w:p>
      <w:pPr>
        <w:pStyle w:val="27"/>
        <w:spacing w:line="360" w:lineRule="auto"/>
        <w:rPr>
          <w:bCs/>
          <w:sz w:val="24"/>
        </w:rPr>
      </w:pPr>
      <w:r>
        <w:rPr>
          <w:rFonts w:hint="eastAsia"/>
          <w:bCs/>
          <w:sz w:val="24"/>
          <w:lang w:val="zh-CN"/>
        </w:rPr>
        <w:t>30.1</w:t>
      </w:r>
      <w:r>
        <w:rPr>
          <w:rFonts w:hint="eastAsia"/>
          <w:bCs/>
          <w:sz w:val="24"/>
        </w:rPr>
        <w:t>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27"/>
        <w:spacing w:line="360" w:lineRule="auto"/>
        <w:rPr>
          <w:bCs/>
          <w:sz w:val="24"/>
        </w:rPr>
      </w:pPr>
      <w:r>
        <w:rPr>
          <w:rFonts w:hint="eastAsia"/>
          <w:bCs/>
          <w:sz w:val="24"/>
        </w:rPr>
        <w:t>30.2采购人或者采购代理机构应当按照政府采购合同规定的技术、服务、安全标准组织对投标人履约情况进行验收，并出具验收书。验收书应当包括每一项技术、服务、安全标准的履约情况。</w:t>
      </w:r>
    </w:p>
    <w:p>
      <w:pPr>
        <w:pStyle w:val="6"/>
        <w:spacing w:line="360" w:lineRule="auto"/>
        <w:ind w:left="899" w:hanging="899"/>
        <w:jc w:val="center"/>
        <w:rPr>
          <w:rFonts w:hint="default"/>
          <w:sz w:val="24"/>
          <w:szCs w:val="24"/>
        </w:rPr>
      </w:pPr>
      <w:bookmarkStart w:id="270" w:name="_Toc529197212"/>
      <w:bookmarkStart w:id="271" w:name="_Toc40110930"/>
      <w:bookmarkStart w:id="272" w:name="_Toc5895205"/>
      <w:bookmarkStart w:id="273" w:name="_Toc21457"/>
      <w:bookmarkStart w:id="274" w:name="_Toc8995"/>
      <w:r>
        <w:rPr>
          <w:sz w:val="24"/>
          <w:szCs w:val="24"/>
        </w:rPr>
        <w:t>九 询问与质疑</w:t>
      </w:r>
      <w:bookmarkEnd w:id="270"/>
      <w:bookmarkEnd w:id="271"/>
      <w:bookmarkEnd w:id="272"/>
      <w:bookmarkEnd w:id="273"/>
      <w:bookmarkEnd w:id="274"/>
    </w:p>
    <w:p>
      <w:pPr>
        <w:pStyle w:val="6"/>
        <w:spacing w:line="360" w:lineRule="auto"/>
        <w:rPr>
          <w:rFonts w:hint="default"/>
          <w:b/>
          <w:sz w:val="24"/>
        </w:rPr>
      </w:pPr>
      <w:bookmarkStart w:id="275" w:name="_Toc5895206"/>
      <w:bookmarkStart w:id="276" w:name="_Toc27977"/>
      <w:bookmarkStart w:id="277" w:name="_Toc40110931"/>
      <w:r>
        <w:rPr>
          <w:b/>
          <w:sz w:val="24"/>
        </w:rPr>
        <w:t>31.询问</w:t>
      </w:r>
      <w:bookmarkEnd w:id="275"/>
      <w:bookmarkEnd w:id="276"/>
      <w:bookmarkEnd w:id="277"/>
    </w:p>
    <w:p>
      <w:pPr>
        <w:pStyle w:val="27"/>
        <w:spacing w:line="360" w:lineRule="auto"/>
        <w:ind w:firstLine="480" w:firstLineChars="200"/>
        <w:rPr>
          <w:bCs/>
          <w:color w:val="000000"/>
          <w:sz w:val="24"/>
        </w:rPr>
      </w:pPr>
      <w:r>
        <w:rPr>
          <w:rFonts w:hint="eastAsia"/>
          <w:bCs/>
          <w:color w:val="000000"/>
          <w:sz w:val="24"/>
        </w:rPr>
        <w:t>投标人对政府采购活动事项有疑问的，可以向采购代理机构提出询问，采购代理机构应当在</w:t>
      </w:r>
      <w:r>
        <w:rPr>
          <w:bCs/>
          <w:color w:val="000000"/>
          <w:sz w:val="24"/>
        </w:rPr>
        <w:t>3个工作日内对</w:t>
      </w:r>
      <w:r>
        <w:rPr>
          <w:rFonts w:hint="eastAsia"/>
          <w:bCs/>
          <w:color w:val="000000"/>
          <w:sz w:val="24"/>
        </w:rPr>
        <w:t>投标人依法提出的询问作出答复，但答复的内容不得涉及商业秘密。</w:t>
      </w:r>
    </w:p>
    <w:p>
      <w:pPr>
        <w:pStyle w:val="6"/>
        <w:spacing w:line="360" w:lineRule="auto"/>
        <w:rPr>
          <w:rFonts w:hint="default"/>
          <w:b/>
          <w:sz w:val="24"/>
        </w:rPr>
      </w:pPr>
      <w:bookmarkStart w:id="278" w:name="_Toc5895207"/>
      <w:bookmarkStart w:id="279" w:name="_Toc40110932"/>
      <w:bookmarkStart w:id="280" w:name="_Toc9240"/>
      <w:r>
        <w:rPr>
          <w:b/>
          <w:sz w:val="24"/>
        </w:rPr>
        <w:t>32.质疑</w:t>
      </w:r>
      <w:bookmarkEnd w:id="278"/>
      <w:bookmarkEnd w:id="279"/>
      <w:bookmarkEnd w:id="280"/>
    </w:p>
    <w:p>
      <w:pPr>
        <w:pStyle w:val="27"/>
        <w:spacing w:line="360" w:lineRule="auto"/>
        <w:rPr>
          <w:bCs/>
          <w:color w:val="000000"/>
          <w:sz w:val="24"/>
        </w:rPr>
      </w:pPr>
      <w:r>
        <w:rPr>
          <w:rFonts w:hint="eastAsia"/>
          <w:bCs/>
          <w:color w:val="000000"/>
          <w:sz w:val="24"/>
        </w:rPr>
        <w:t>3</w:t>
      </w:r>
      <w:r>
        <w:rPr>
          <w:bCs/>
          <w:color w:val="000000"/>
          <w:sz w:val="24"/>
        </w:rPr>
        <w:t>2.1</w:t>
      </w:r>
      <w:r>
        <w:rPr>
          <w:rFonts w:hint="eastAsia"/>
          <w:bCs/>
          <w:color w:val="000000"/>
          <w:sz w:val="24"/>
        </w:rPr>
        <w:t>投标人认为招标文件、采购过程、中标结果使自己的权益受到损害的，可以在知道或者应知其权益受到损害之日起7个工作日内，以书面形式向采购人、采购代理机构提出质疑。</w:t>
      </w:r>
    </w:p>
    <w:p>
      <w:pPr>
        <w:pStyle w:val="27"/>
        <w:spacing w:line="360" w:lineRule="auto"/>
        <w:rPr>
          <w:bCs/>
          <w:color w:val="000000"/>
          <w:sz w:val="24"/>
        </w:rPr>
      </w:pPr>
      <w:r>
        <w:rPr>
          <w:rFonts w:hint="eastAsia"/>
          <w:bCs/>
          <w:color w:val="000000"/>
          <w:sz w:val="24"/>
        </w:rPr>
        <w:t>3</w:t>
      </w:r>
      <w:r>
        <w:rPr>
          <w:bCs/>
          <w:color w:val="000000"/>
          <w:sz w:val="24"/>
        </w:rPr>
        <w:t>2.2</w:t>
      </w:r>
      <w:r>
        <w:rPr>
          <w:rFonts w:hint="eastAsia"/>
          <w:bCs/>
          <w:color w:val="000000"/>
          <w:sz w:val="24"/>
        </w:rPr>
        <w:t>投标人应在法定质疑期内一次性提出针对同一采购程序环节的质疑。</w:t>
      </w:r>
    </w:p>
    <w:p>
      <w:pPr>
        <w:pStyle w:val="27"/>
        <w:spacing w:line="360" w:lineRule="auto"/>
        <w:rPr>
          <w:bCs/>
          <w:color w:val="000000"/>
          <w:sz w:val="24"/>
        </w:rPr>
      </w:pPr>
      <w:r>
        <w:rPr>
          <w:bCs/>
          <w:color w:val="000000"/>
          <w:sz w:val="24"/>
        </w:rPr>
        <w:t>32.3</w:t>
      </w:r>
      <w:r>
        <w:rPr>
          <w:rFonts w:hint="eastAsia"/>
          <w:bCs/>
          <w:color w:val="000000"/>
          <w:sz w:val="24"/>
        </w:rPr>
        <w:t>投标人提出质疑应当提交质疑函和必要的证明材料。</w:t>
      </w:r>
    </w:p>
    <w:p>
      <w:pPr>
        <w:pStyle w:val="27"/>
        <w:spacing w:line="360" w:lineRule="auto"/>
        <w:rPr>
          <w:bCs/>
          <w:color w:val="000000"/>
          <w:sz w:val="24"/>
        </w:rPr>
      </w:pPr>
      <w:r>
        <w:rPr>
          <w:bCs/>
          <w:color w:val="000000"/>
          <w:sz w:val="24"/>
        </w:rPr>
        <w:t>32.</w:t>
      </w:r>
      <w:r>
        <w:rPr>
          <w:rFonts w:hint="eastAsia"/>
          <w:bCs/>
          <w:color w:val="000000"/>
          <w:sz w:val="24"/>
        </w:rPr>
        <w:t>4投标人进行质疑时，应当书面提交质疑函正本一份、副本一份及电子版一份（word版）。</w:t>
      </w:r>
    </w:p>
    <w:p>
      <w:pPr>
        <w:pStyle w:val="27"/>
        <w:spacing w:line="360" w:lineRule="auto"/>
        <w:rPr>
          <w:bCs/>
          <w:color w:val="000000"/>
          <w:sz w:val="24"/>
        </w:rPr>
      </w:pPr>
      <w:r>
        <w:rPr>
          <w:bCs/>
          <w:color w:val="000000"/>
          <w:sz w:val="24"/>
        </w:rPr>
        <w:t>32.5</w:t>
      </w:r>
      <w:r>
        <w:rPr>
          <w:rFonts w:hint="eastAsia"/>
          <w:bCs/>
          <w:color w:val="000000"/>
          <w:sz w:val="24"/>
        </w:rPr>
        <w:t>质疑函应当采用政府采购供应商质疑函范本格式，应当包括下列主要内容：</w:t>
      </w:r>
    </w:p>
    <w:p>
      <w:pPr>
        <w:pStyle w:val="27"/>
        <w:spacing w:line="360" w:lineRule="auto"/>
        <w:rPr>
          <w:bCs/>
          <w:color w:val="000000"/>
          <w:sz w:val="24"/>
        </w:rPr>
      </w:pPr>
      <w:r>
        <w:rPr>
          <w:bCs/>
          <w:color w:val="000000"/>
          <w:sz w:val="24"/>
        </w:rPr>
        <w:t>32.5</w:t>
      </w:r>
      <w:r>
        <w:rPr>
          <w:rFonts w:hint="eastAsia"/>
          <w:bCs/>
          <w:color w:val="000000"/>
          <w:sz w:val="24"/>
        </w:rPr>
        <w:t>.1 投标人的姓名或者名称、地址、邮编、联系人及联系电话；</w:t>
      </w:r>
    </w:p>
    <w:p>
      <w:pPr>
        <w:pStyle w:val="27"/>
        <w:spacing w:line="360" w:lineRule="auto"/>
        <w:rPr>
          <w:bCs/>
          <w:color w:val="000000"/>
          <w:sz w:val="24"/>
        </w:rPr>
      </w:pPr>
      <w:r>
        <w:rPr>
          <w:bCs/>
          <w:color w:val="000000"/>
          <w:sz w:val="24"/>
        </w:rPr>
        <w:t>32.5</w:t>
      </w:r>
      <w:r>
        <w:rPr>
          <w:rFonts w:hint="eastAsia"/>
          <w:bCs/>
          <w:color w:val="000000"/>
          <w:sz w:val="24"/>
        </w:rPr>
        <w:t>.2质疑项目的名称、编号；</w:t>
      </w:r>
    </w:p>
    <w:p>
      <w:pPr>
        <w:pStyle w:val="27"/>
        <w:spacing w:line="360" w:lineRule="auto"/>
        <w:rPr>
          <w:bCs/>
          <w:color w:val="000000"/>
          <w:sz w:val="24"/>
        </w:rPr>
      </w:pPr>
      <w:r>
        <w:rPr>
          <w:bCs/>
          <w:color w:val="000000"/>
          <w:sz w:val="24"/>
        </w:rPr>
        <w:t>32.5</w:t>
      </w:r>
      <w:r>
        <w:rPr>
          <w:rFonts w:hint="eastAsia"/>
          <w:bCs/>
          <w:color w:val="000000"/>
          <w:sz w:val="24"/>
        </w:rPr>
        <w:t>.3具体、明确的质疑事项和与质疑事项相关的请求；</w:t>
      </w:r>
    </w:p>
    <w:p>
      <w:pPr>
        <w:pStyle w:val="27"/>
        <w:spacing w:line="360" w:lineRule="auto"/>
        <w:rPr>
          <w:bCs/>
          <w:color w:val="000000"/>
          <w:sz w:val="24"/>
        </w:rPr>
      </w:pPr>
      <w:r>
        <w:rPr>
          <w:bCs/>
          <w:color w:val="000000"/>
          <w:sz w:val="24"/>
        </w:rPr>
        <w:t>32.5</w:t>
      </w:r>
      <w:r>
        <w:rPr>
          <w:rFonts w:hint="eastAsia"/>
          <w:bCs/>
          <w:color w:val="000000"/>
          <w:sz w:val="24"/>
        </w:rPr>
        <w:t>.4事实依据；</w:t>
      </w:r>
    </w:p>
    <w:p>
      <w:pPr>
        <w:pStyle w:val="27"/>
        <w:spacing w:line="360" w:lineRule="auto"/>
        <w:rPr>
          <w:bCs/>
          <w:color w:val="000000"/>
          <w:sz w:val="24"/>
        </w:rPr>
      </w:pPr>
      <w:r>
        <w:rPr>
          <w:bCs/>
          <w:color w:val="000000"/>
          <w:sz w:val="24"/>
        </w:rPr>
        <w:t>32.5</w:t>
      </w:r>
      <w:r>
        <w:rPr>
          <w:rFonts w:hint="eastAsia"/>
          <w:bCs/>
          <w:color w:val="000000"/>
          <w:sz w:val="24"/>
        </w:rPr>
        <w:t>.5必要的法律依据；</w:t>
      </w:r>
    </w:p>
    <w:p>
      <w:pPr>
        <w:pStyle w:val="27"/>
        <w:spacing w:line="360" w:lineRule="auto"/>
        <w:rPr>
          <w:bCs/>
          <w:color w:val="000000"/>
          <w:sz w:val="24"/>
        </w:rPr>
      </w:pPr>
      <w:r>
        <w:rPr>
          <w:bCs/>
          <w:color w:val="000000"/>
          <w:sz w:val="24"/>
        </w:rPr>
        <w:t>32.5</w:t>
      </w:r>
      <w:r>
        <w:rPr>
          <w:rFonts w:hint="eastAsia"/>
          <w:bCs/>
          <w:color w:val="000000"/>
          <w:sz w:val="24"/>
        </w:rPr>
        <w:t>.6提出质疑的日期。</w:t>
      </w:r>
    </w:p>
    <w:p>
      <w:pPr>
        <w:pStyle w:val="27"/>
        <w:spacing w:line="360" w:lineRule="auto"/>
        <w:rPr>
          <w:bCs/>
          <w:color w:val="000000"/>
          <w:sz w:val="24"/>
        </w:rPr>
      </w:pPr>
      <w:r>
        <w:rPr>
          <w:bCs/>
          <w:color w:val="000000"/>
          <w:sz w:val="24"/>
        </w:rPr>
        <w:t>32.</w:t>
      </w:r>
      <w:r>
        <w:rPr>
          <w:rFonts w:hint="eastAsia"/>
          <w:bCs/>
          <w:color w:val="000000"/>
          <w:sz w:val="24"/>
        </w:rPr>
        <w:t>6投标人为自然人的，应当由本人签字；投标人为法人或者其他组织的，应当由法定代表人、主要负责人，或者其授权代表签字或者盖章，并加盖公章。</w:t>
      </w:r>
    </w:p>
    <w:p>
      <w:pPr>
        <w:pStyle w:val="27"/>
        <w:spacing w:line="360" w:lineRule="auto"/>
        <w:rPr>
          <w:bCs/>
          <w:color w:val="000000"/>
          <w:sz w:val="24"/>
        </w:rPr>
      </w:pPr>
      <w:r>
        <w:rPr>
          <w:bCs/>
          <w:color w:val="000000"/>
          <w:sz w:val="24"/>
        </w:rPr>
        <w:t>32.7</w:t>
      </w:r>
      <w:r>
        <w:rPr>
          <w:rFonts w:hint="eastAsia"/>
          <w:bCs/>
          <w:color w:val="000000"/>
          <w:sz w:val="24"/>
        </w:rPr>
        <w:t>质疑投标人进行虚假、恶意质疑的，采购代理机构将向财政主管部门进行汇报。</w:t>
      </w:r>
    </w:p>
    <w:p>
      <w:pPr>
        <w:pStyle w:val="27"/>
        <w:spacing w:line="360" w:lineRule="auto"/>
        <w:rPr>
          <w:bCs/>
          <w:color w:val="000000"/>
          <w:sz w:val="24"/>
        </w:rPr>
      </w:pPr>
      <w:r>
        <w:rPr>
          <w:rFonts w:hint="eastAsia"/>
          <w:bCs/>
          <w:color w:val="000000"/>
          <w:sz w:val="24"/>
        </w:rPr>
        <w:t>32.8接收质疑函的方式：书面形式</w:t>
      </w:r>
    </w:p>
    <w:p>
      <w:pPr>
        <w:pStyle w:val="27"/>
        <w:spacing w:line="360" w:lineRule="auto"/>
        <w:rPr>
          <w:rFonts w:ascii="宋体" w:hAnsi="宋体" w:cs="宋体"/>
          <w:bCs/>
          <w:color w:val="000000"/>
          <w:sz w:val="24"/>
        </w:rPr>
      </w:pPr>
      <w:r>
        <w:rPr>
          <w:rFonts w:hint="eastAsia"/>
          <w:bCs/>
          <w:color w:val="000000"/>
          <w:sz w:val="24"/>
        </w:rPr>
        <w:t>联系部门：华采招标集团有限公司</w:t>
      </w:r>
    </w:p>
    <w:p>
      <w:pPr>
        <w:pStyle w:val="27"/>
        <w:spacing w:line="360" w:lineRule="auto"/>
        <w:rPr>
          <w:rFonts w:ascii="宋体" w:hAnsi="宋体" w:cs="宋体"/>
          <w:bCs/>
          <w:color w:val="000000"/>
          <w:sz w:val="24"/>
        </w:rPr>
      </w:pPr>
      <w:r>
        <w:rPr>
          <w:rFonts w:hint="eastAsia" w:ascii="宋体" w:hAnsi="宋体" w:cs="宋体"/>
          <w:bCs/>
          <w:color w:val="000000"/>
          <w:sz w:val="24"/>
        </w:rPr>
        <w:t>通讯地址：北京市丰台区广安路9号国投财富广场6号楼1601室</w:t>
      </w:r>
    </w:p>
    <w:p>
      <w:pPr>
        <w:pStyle w:val="27"/>
        <w:spacing w:line="360" w:lineRule="auto"/>
        <w:rPr>
          <w:rFonts w:hint="eastAsia" w:ascii="宋体" w:hAnsi="宋体" w:eastAsia="宋体" w:cs="宋体"/>
          <w:bCs/>
          <w:color w:val="000000"/>
          <w:sz w:val="24"/>
          <w:lang w:eastAsia="zh-CN"/>
        </w:rPr>
      </w:pPr>
      <w:r>
        <w:rPr>
          <w:rFonts w:hint="eastAsia" w:ascii="宋体" w:hAnsi="宋体" w:cs="宋体"/>
          <w:bCs/>
          <w:color w:val="000000"/>
          <w:sz w:val="24"/>
        </w:rPr>
        <w:t>联系电话：</w:t>
      </w:r>
      <w:r>
        <w:rPr>
          <w:rFonts w:hint="eastAsia" w:ascii="宋体" w:hAnsi="宋体" w:cs="宋体"/>
          <w:bCs/>
          <w:color w:val="000000"/>
          <w:sz w:val="24"/>
          <w:lang w:eastAsia="zh-CN"/>
        </w:rPr>
        <w:t>186-1228-7813/7807</w:t>
      </w:r>
    </w:p>
    <w:p>
      <w:pPr>
        <w:pStyle w:val="27"/>
        <w:spacing w:line="360" w:lineRule="auto"/>
        <w:rPr>
          <w:rFonts w:ascii="宋体" w:hAnsi="宋体" w:cs="宋体"/>
          <w:bCs/>
          <w:color w:val="000000"/>
          <w:sz w:val="24"/>
        </w:rPr>
      </w:pPr>
      <w:r>
        <w:rPr>
          <w:rFonts w:hint="eastAsia" w:ascii="宋体" w:hAnsi="宋体" w:cs="宋体"/>
          <w:bCs/>
          <w:color w:val="000000"/>
          <w:sz w:val="24"/>
        </w:rPr>
        <w:t>邮    箱：hczb104@163.com</w:t>
      </w:r>
    </w:p>
    <w:p>
      <w:pPr>
        <w:pStyle w:val="27"/>
        <w:spacing w:line="360" w:lineRule="auto"/>
        <w:rPr>
          <w:bCs/>
          <w:color w:val="000000"/>
          <w:sz w:val="24"/>
        </w:rPr>
      </w:pPr>
      <w:r>
        <w:rPr>
          <w:rFonts w:hint="eastAsia"/>
          <w:bCs/>
          <w:color w:val="000000"/>
          <w:sz w:val="24"/>
        </w:rPr>
        <w:t>联 系 人： 贾东敏、蒲晓芳、姚冲、刘金秀</w:t>
      </w:r>
      <w:bookmarkStart w:id="595" w:name="_GoBack"/>
      <w:bookmarkEnd w:id="595"/>
    </w:p>
    <w:p>
      <w:pPr>
        <w:rPr>
          <w:rFonts w:ascii="宋体" w:hAnsi="宋体" w:cs="宋体"/>
          <w:b/>
          <w:bCs/>
          <w:sz w:val="28"/>
          <w:szCs w:val="28"/>
        </w:rPr>
      </w:pPr>
      <w:r>
        <w:rPr>
          <w:rFonts w:hint="eastAsia" w:ascii="宋体" w:hAnsi="宋体" w:cs="宋体"/>
          <w:b/>
          <w:bCs/>
          <w:sz w:val="28"/>
          <w:szCs w:val="28"/>
        </w:rPr>
        <w:br w:type="page"/>
      </w:r>
    </w:p>
    <w:p>
      <w:pPr>
        <w:pStyle w:val="3"/>
        <w:rPr>
          <w:lang w:val="en-US"/>
        </w:rPr>
      </w:pPr>
      <w:bookmarkStart w:id="281" w:name="_Toc17332"/>
      <w:r>
        <w:rPr>
          <w:rFonts w:hint="eastAsia"/>
          <w:lang w:val="en-US"/>
        </w:rPr>
        <w:t>第四章 采购需求</w:t>
      </w:r>
      <w:bookmarkEnd w:id="281"/>
    </w:p>
    <w:p>
      <w:pPr>
        <w:jc w:val="left"/>
        <w:rPr>
          <w:rFonts w:ascii="宋体" w:hAnsi="宋体" w:cs="宋体"/>
          <w:b/>
          <w:bCs/>
          <w:sz w:val="28"/>
          <w:szCs w:val="28"/>
        </w:rPr>
      </w:pPr>
    </w:p>
    <w:p>
      <w:pPr>
        <w:pStyle w:val="4"/>
        <w:rPr>
          <w:b/>
          <w:bCs/>
          <w:lang w:val="zh-CN"/>
        </w:rPr>
      </w:pPr>
      <w:bookmarkStart w:id="282" w:name="_Toc28598"/>
      <w:r>
        <w:rPr>
          <w:rFonts w:hint="eastAsia"/>
          <w:b/>
          <w:bCs/>
        </w:rPr>
        <w:t>（一）服务要求</w:t>
      </w:r>
      <w:bookmarkEnd w:id="282"/>
    </w:p>
    <w:p>
      <w:pPr>
        <w:spacing w:line="360" w:lineRule="auto"/>
        <w:ind w:firstLine="480" w:firstLineChars="200"/>
        <w:jc w:val="left"/>
        <w:rPr>
          <w:rFonts w:ascii="宋体" w:hAnsi="宋体" w:cs="宋体"/>
          <w:sz w:val="24"/>
          <w:lang w:val="zh-CN"/>
        </w:rPr>
      </w:pPr>
      <w:r>
        <w:rPr>
          <w:rFonts w:hint="eastAsia" w:ascii="宋体" w:hAnsi="宋体" w:cs="宋体"/>
          <w:sz w:val="24"/>
          <w:lang w:val="zh-CN"/>
        </w:rPr>
        <w:t>质保期不小于</w:t>
      </w:r>
      <w:r>
        <w:rPr>
          <w:rFonts w:ascii="宋体" w:hAnsi="宋体" w:cs="宋体"/>
          <w:sz w:val="24"/>
        </w:rPr>
        <w:t>3</w:t>
      </w:r>
      <w:r>
        <w:rPr>
          <w:rFonts w:hint="eastAsia" w:ascii="宋体" w:hAnsi="宋体" w:cs="宋体"/>
          <w:sz w:val="24"/>
          <w:lang w:val="zh-CN"/>
        </w:rPr>
        <w:t>年，售后服务人员不少于2名，事故响应到达现场不大于</w:t>
      </w:r>
      <w:r>
        <w:rPr>
          <w:rFonts w:hint="eastAsia" w:ascii="宋体" w:hAnsi="宋体" w:cs="宋体"/>
          <w:sz w:val="24"/>
        </w:rPr>
        <w:t>2</w:t>
      </w:r>
      <w:r>
        <w:rPr>
          <w:rFonts w:hint="eastAsia" w:ascii="宋体" w:hAnsi="宋体" w:cs="宋体"/>
          <w:sz w:val="24"/>
          <w:lang w:val="zh-CN"/>
        </w:rPr>
        <w:t>小时。</w:t>
      </w:r>
    </w:p>
    <w:p>
      <w:pPr>
        <w:pStyle w:val="2"/>
        <w:rPr>
          <w:lang w:val="zh-CN"/>
        </w:rPr>
      </w:pPr>
    </w:p>
    <w:p>
      <w:pPr>
        <w:pStyle w:val="4"/>
        <w:numPr>
          <w:ilvl w:val="0"/>
          <w:numId w:val="2"/>
        </w:numPr>
      </w:pPr>
      <w:bookmarkStart w:id="283" w:name="_Toc1633"/>
      <w:r>
        <w:rPr>
          <w:rFonts w:hint="eastAsia"/>
          <w:b/>
          <w:bCs/>
        </w:rPr>
        <w:t>所属行业</w:t>
      </w:r>
      <w:bookmarkEnd w:id="283"/>
      <w:r>
        <w:rPr>
          <w:rFonts w:hint="eastAsia"/>
        </w:rPr>
        <w:t xml:space="preserve"> </w:t>
      </w:r>
    </w:p>
    <w:p>
      <w:pPr>
        <w:spacing w:line="360" w:lineRule="auto"/>
        <w:ind w:firstLine="480" w:firstLineChars="200"/>
        <w:jc w:val="left"/>
        <w:rPr>
          <w:rFonts w:ascii="宋体" w:hAnsi="宋体" w:cs="宋体"/>
          <w:sz w:val="24"/>
        </w:rPr>
      </w:pPr>
      <w:r>
        <w:rPr>
          <w:rFonts w:hint="eastAsia" w:asciiTheme="minorEastAsia" w:hAnsiTheme="minorEastAsia"/>
          <w:sz w:val="24"/>
        </w:rPr>
        <w:t>本项目采购标的对应的中小企业划分标准所属行业为：</w:t>
      </w:r>
      <w:r>
        <w:rPr>
          <w:rFonts w:hint="eastAsia" w:asciiTheme="minorEastAsia" w:hAnsiTheme="minorEastAsia"/>
          <w:b/>
          <w:bCs/>
          <w:sz w:val="24"/>
          <w:u w:val="single"/>
        </w:rPr>
        <w:t>工业</w:t>
      </w:r>
      <w:r>
        <w:rPr>
          <w:rFonts w:hint="eastAsia" w:asciiTheme="minorEastAsia" w:hAnsiTheme="minorEastAsia"/>
          <w:sz w:val="24"/>
        </w:rPr>
        <w:t>。</w:t>
      </w:r>
      <w:r>
        <w:rPr>
          <w:rFonts w:hint="eastAsia" w:ascii="宋体" w:hAnsi="宋体" w:cs="宋体"/>
          <w:sz w:val="24"/>
        </w:rPr>
        <w:t xml:space="preserve"> </w:t>
      </w:r>
    </w:p>
    <w:p>
      <w:pPr>
        <w:pStyle w:val="2"/>
      </w:pPr>
    </w:p>
    <w:p>
      <w:pPr>
        <w:pStyle w:val="4"/>
        <w:rPr>
          <w:b/>
          <w:bCs/>
        </w:rPr>
      </w:pPr>
      <w:bookmarkStart w:id="284" w:name="_Toc189"/>
      <w:r>
        <w:rPr>
          <w:rFonts w:hint="eastAsia"/>
          <w:b/>
          <w:bCs/>
        </w:rPr>
        <w:t>（三）主要构成</w:t>
      </w:r>
      <w:bookmarkEnd w:id="284"/>
      <w:bookmarkStart w:id="285" w:name="_Hlk106725548"/>
    </w:p>
    <w:bookmarkEnd w:id="285"/>
    <w:tbl>
      <w:tblPr>
        <w:tblStyle w:val="20"/>
        <w:tblW w:w="4998" w:type="pct"/>
        <w:tblInd w:w="0" w:type="dxa"/>
        <w:tblLayout w:type="autofit"/>
        <w:tblCellMar>
          <w:top w:w="0" w:type="dxa"/>
          <w:left w:w="108" w:type="dxa"/>
          <w:bottom w:w="0" w:type="dxa"/>
          <w:right w:w="108" w:type="dxa"/>
        </w:tblCellMar>
      </w:tblPr>
      <w:tblGrid>
        <w:gridCol w:w="2028"/>
        <w:gridCol w:w="4199"/>
        <w:gridCol w:w="1411"/>
        <w:gridCol w:w="1614"/>
      </w:tblGrid>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模块名称</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数量</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LED显示屏</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视频拼接处理器</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LED控制器</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接收卡</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张</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45</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配电系统</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钢结构与装饰边</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安装、调试</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全频音箱</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音箱壁架</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数字功放</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真分集无线麦克风1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真分集无线麦克风2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数字调音台</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反馈抑制器</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音频矩阵处理器</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可编程网络中控系统主机</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2U可编程电源管理器</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无线控制平板</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无线路由器</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高清视频切换器</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电源时序器</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2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75寸触摸一体机</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2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 xml:space="preserve">VR头盔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2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立体眼镜</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60</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VR工作站</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系统服务器</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图形图像工作站</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2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翻转电脑学习座椅套装</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张</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24</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2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 xml:space="preserve">六边形桌椅套装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学院虚拟仿真教学实验中心仪器存放柜</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tblPrEx>
          <w:tblCellMar>
            <w:top w:w="0" w:type="dxa"/>
            <w:left w:w="108" w:type="dxa"/>
            <w:bottom w:w="0" w:type="dxa"/>
            <w:right w:w="108" w:type="dxa"/>
          </w:tblCellMar>
        </w:tblPrEx>
        <w:trPr>
          <w:trHeight w:val="23"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云管理平台</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1</w:t>
            </w:r>
          </w:p>
        </w:tc>
      </w:tr>
    </w:tbl>
    <w:p>
      <w:pPr>
        <w:spacing w:line="360" w:lineRule="auto"/>
        <w:jc w:val="left"/>
        <w:rPr>
          <w:rFonts w:ascii="宋体" w:hAnsi="宋体" w:cs="宋体"/>
          <w:sz w:val="24"/>
        </w:rPr>
      </w:pPr>
    </w:p>
    <w:p>
      <w:pPr>
        <w:pStyle w:val="4"/>
        <w:rPr>
          <w:b/>
          <w:bCs/>
        </w:rPr>
      </w:pPr>
      <w:bookmarkStart w:id="286" w:name="_Toc27457"/>
      <w:r>
        <w:rPr>
          <w:rFonts w:hint="eastAsia"/>
          <w:b/>
          <w:bCs/>
        </w:rPr>
        <w:t>（四）其他内容</w:t>
      </w:r>
      <w:bookmarkEnd w:id="286"/>
    </w:p>
    <w:p>
      <w:pPr>
        <w:spacing w:line="360" w:lineRule="auto"/>
        <w:rPr>
          <w:rFonts w:ascii="宋体" w:hAnsi="宋体"/>
          <w:sz w:val="24"/>
        </w:rPr>
      </w:pPr>
      <w:r>
        <w:rPr>
          <w:rFonts w:hint="eastAsia" w:ascii="宋体" w:hAnsi="宋体"/>
          <w:sz w:val="24"/>
        </w:rPr>
        <w:t>（1）交货时间：签订合同后</w:t>
      </w:r>
      <w:r>
        <w:rPr>
          <w:rFonts w:hint="eastAsia" w:ascii="宋体" w:hAnsi="宋体"/>
          <w:sz w:val="24"/>
          <w:u w:val="single"/>
        </w:rPr>
        <w:t xml:space="preserve"> </w:t>
      </w:r>
      <w:r>
        <w:rPr>
          <w:rFonts w:ascii="宋体" w:hAnsi="宋体"/>
          <w:sz w:val="24"/>
          <w:u w:val="single"/>
        </w:rPr>
        <w:t>50</w:t>
      </w:r>
      <w:r>
        <w:rPr>
          <w:rFonts w:hint="eastAsia" w:ascii="宋体" w:hAnsi="宋体"/>
          <w:sz w:val="24"/>
          <w:u w:val="single"/>
        </w:rPr>
        <w:t xml:space="preserve"> </w:t>
      </w:r>
      <w:r>
        <w:rPr>
          <w:rFonts w:hint="eastAsia" w:ascii="宋体" w:hAnsi="宋体"/>
          <w:sz w:val="24"/>
        </w:rPr>
        <w:t>个日历日内完成交货、安装、调试。</w:t>
      </w:r>
    </w:p>
    <w:p>
      <w:pPr>
        <w:spacing w:line="360" w:lineRule="auto"/>
        <w:rPr>
          <w:rFonts w:ascii="宋体" w:hAnsi="宋体"/>
          <w:sz w:val="24"/>
        </w:rPr>
      </w:pPr>
      <w:r>
        <w:rPr>
          <w:rFonts w:hint="eastAsia" w:ascii="宋体" w:hAnsi="宋体"/>
          <w:sz w:val="24"/>
        </w:rPr>
        <w:t>（2）交货地点：采购人指定地点</w:t>
      </w:r>
    </w:p>
    <w:p>
      <w:pPr>
        <w:pStyle w:val="19"/>
        <w:ind w:left="0" w:leftChars="0" w:firstLine="0" w:firstLineChars="0"/>
        <w:rPr>
          <w:sz w:val="24"/>
          <w:szCs w:val="24"/>
          <w:u w:val="single"/>
        </w:rPr>
      </w:pPr>
      <w:r>
        <w:rPr>
          <w:rFonts w:hint="eastAsia" w:ascii="宋体" w:hAnsi="宋体"/>
          <w:sz w:val="24"/>
          <w:szCs w:val="24"/>
        </w:rPr>
        <w:t>（3）核心产品：L</w:t>
      </w:r>
      <w:r>
        <w:rPr>
          <w:rFonts w:ascii="宋体" w:hAnsi="宋体"/>
          <w:sz w:val="24"/>
          <w:szCs w:val="24"/>
        </w:rPr>
        <w:t>ED</w:t>
      </w:r>
      <w:r>
        <w:rPr>
          <w:rFonts w:hint="eastAsia" w:ascii="宋体" w:hAnsi="宋体"/>
          <w:sz w:val="24"/>
          <w:szCs w:val="24"/>
        </w:rPr>
        <w:t>显示屏、</w:t>
      </w:r>
      <w:r>
        <w:rPr>
          <w:rFonts w:hint="eastAsia"/>
          <w:sz w:val="24"/>
          <w:szCs w:val="24"/>
          <w:lang w:val="en-US"/>
        </w:rPr>
        <w:t>云管理平台</w:t>
      </w:r>
    </w:p>
    <w:p>
      <w:pPr>
        <w:spacing w:line="360" w:lineRule="auto"/>
        <w:rPr>
          <w:rFonts w:ascii="宋体" w:hAnsi="宋体"/>
          <w:sz w:val="24"/>
        </w:rPr>
      </w:pPr>
      <w:r>
        <w:rPr>
          <w:rFonts w:hint="eastAsia" w:ascii="宋体" w:hAnsi="宋体"/>
          <w:sz w:val="24"/>
        </w:rPr>
        <w:t>（4）售后服务要求：</w:t>
      </w:r>
    </w:p>
    <w:p>
      <w:pPr>
        <w:spacing w:line="360" w:lineRule="auto"/>
        <w:ind w:firstLine="480" w:firstLineChars="200"/>
        <w:rPr>
          <w:sz w:val="24"/>
        </w:rPr>
      </w:pPr>
      <w:r>
        <w:rPr>
          <w:rFonts w:hint="eastAsia"/>
          <w:sz w:val="24"/>
        </w:rPr>
        <w:t>安装时有专人调试和指导操作，确保用户能够正常使用。</w:t>
      </w:r>
    </w:p>
    <w:p>
      <w:pPr>
        <w:spacing w:line="360" w:lineRule="auto"/>
        <w:ind w:firstLine="480" w:firstLineChars="200"/>
        <w:rPr>
          <w:sz w:val="24"/>
        </w:rPr>
      </w:pPr>
      <w:r>
        <w:rPr>
          <w:rFonts w:hint="eastAsia"/>
          <w:sz w:val="24"/>
        </w:rPr>
        <w:t>所投产品实行“三包”，并同时享有原厂商的保修承诺。产品如有质量问题1个月内免费更换；质保期内免费上门服务。对投标产品负责终身维修。</w:t>
      </w:r>
    </w:p>
    <w:p>
      <w:pPr>
        <w:spacing w:line="360" w:lineRule="auto"/>
        <w:ind w:firstLine="480" w:firstLineChars="200"/>
        <w:rPr>
          <w:sz w:val="24"/>
        </w:rPr>
      </w:pPr>
      <w:r>
        <w:rPr>
          <w:sz w:val="24"/>
        </w:rPr>
        <w:t>保修期内所有产品发生故障时，2小时响应，接到故障电话4小时到达现场，</w:t>
      </w:r>
      <w:r>
        <w:rPr>
          <w:rFonts w:hint="eastAsia"/>
          <w:sz w:val="24"/>
        </w:rPr>
        <w:t>一般故障</w:t>
      </w:r>
      <w:r>
        <w:rPr>
          <w:sz w:val="24"/>
        </w:rPr>
        <w:t>24小时内解决问题，提供24小时热线电话及在线技术解答。每个月电话回访一次，客户指定专门联系人。如果卖方在收到通知后7天内没有弥补缺陷，买方可采取必要的补救措施，但风险和费用将由卖方承担。</w:t>
      </w:r>
    </w:p>
    <w:p>
      <w:pPr>
        <w:pStyle w:val="19"/>
        <w:spacing w:line="360" w:lineRule="auto"/>
        <w:ind w:left="0" w:leftChars="0" w:firstLine="480"/>
        <w:rPr>
          <w:sz w:val="24"/>
          <w:szCs w:val="24"/>
        </w:rPr>
      </w:pPr>
      <w:r>
        <w:rPr>
          <w:sz w:val="24"/>
          <w:szCs w:val="24"/>
        </w:rPr>
        <w:t>终身提供技术支持。保修期外提供维修并仅收取成本费（成本费只包括配件成本，但不包括人员工时、交通、住宿费等配件成本以外的费用）</w:t>
      </w:r>
    </w:p>
    <w:p>
      <w:pPr>
        <w:spacing w:line="360" w:lineRule="auto"/>
        <w:rPr>
          <w:rFonts w:ascii="宋体" w:hAnsi="宋体"/>
          <w:sz w:val="24"/>
        </w:rPr>
      </w:pPr>
      <w:r>
        <w:rPr>
          <w:rFonts w:hint="eastAsia" w:ascii="宋体" w:hAnsi="宋体"/>
          <w:sz w:val="24"/>
        </w:rPr>
        <w:t>（5）质保期：</w:t>
      </w:r>
      <w:r>
        <w:rPr>
          <w:rFonts w:hint="eastAsia" w:ascii="宋体" w:hAnsi="宋体" w:cs="宋体"/>
          <w:sz w:val="24"/>
          <w:lang w:val="zh-CN"/>
        </w:rPr>
        <w:t>质保期不小于</w:t>
      </w:r>
      <w:r>
        <w:rPr>
          <w:rFonts w:ascii="宋体" w:hAnsi="宋体" w:cs="宋体"/>
          <w:sz w:val="24"/>
        </w:rPr>
        <w:t>3</w:t>
      </w:r>
      <w:r>
        <w:rPr>
          <w:rFonts w:hint="eastAsia" w:ascii="宋体" w:hAnsi="宋体" w:cs="宋体"/>
          <w:sz w:val="24"/>
          <w:lang w:val="zh-CN"/>
        </w:rPr>
        <w:t>年，售后服务人员不少于2名，事故响应到达现场不大于</w:t>
      </w:r>
      <w:r>
        <w:rPr>
          <w:rFonts w:hint="eastAsia" w:ascii="宋体" w:hAnsi="宋体" w:cs="宋体"/>
          <w:sz w:val="24"/>
        </w:rPr>
        <w:t>2</w:t>
      </w:r>
      <w:r>
        <w:rPr>
          <w:rFonts w:hint="eastAsia" w:ascii="宋体" w:hAnsi="宋体" w:cs="宋体"/>
          <w:sz w:val="24"/>
          <w:lang w:val="zh-CN"/>
        </w:rPr>
        <w:t>小时。</w:t>
      </w:r>
    </w:p>
    <w:p>
      <w:pPr>
        <w:pStyle w:val="5"/>
        <w:numPr>
          <w:ilvl w:val="255"/>
          <w:numId w:val="0"/>
        </w:numPr>
        <w:rPr>
          <w:lang w:val="en-US"/>
        </w:rPr>
      </w:pPr>
      <w:r>
        <w:rPr>
          <w:rFonts w:hint="eastAsia" w:hAnsi="宋体"/>
        </w:rPr>
        <w:t>（6）验收标准：按照招标文件中规定的技术参数与合同中约定的内容进行验收。</w:t>
      </w:r>
    </w:p>
    <w:p>
      <w:pPr>
        <w:pStyle w:val="5"/>
        <w:numPr>
          <w:ilvl w:val="255"/>
          <w:numId w:val="0"/>
        </w:numPr>
        <w:rPr>
          <w:lang w:val="en-US"/>
        </w:rPr>
      </w:pPr>
    </w:p>
    <w:p>
      <w:pPr>
        <w:pStyle w:val="4"/>
        <w:rPr>
          <w:b/>
          <w:bCs/>
        </w:rPr>
      </w:pPr>
      <w:bookmarkStart w:id="287" w:name="_Toc8412"/>
      <w:r>
        <w:rPr>
          <w:rFonts w:hint="eastAsia"/>
          <w:b/>
          <w:bCs/>
        </w:rPr>
        <w:t>（五）参数及功能要求</w:t>
      </w:r>
      <w:bookmarkEnd w:id="287"/>
    </w:p>
    <w:tbl>
      <w:tblPr>
        <w:tblStyle w:val="20"/>
        <w:tblW w:w="4996" w:type="pct"/>
        <w:tblInd w:w="0" w:type="dxa"/>
        <w:tblLayout w:type="fixed"/>
        <w:tblCellMar>
          <w:top w:w="0" w:type="dxa"/>
          <w:left w:w="108" w:type="dxa"/>
          <w:bottom w:w="0" w:type="dxa"/>
          <w:right w:w="108" w:type="dxa"/>
        </w:tblCellMar>
      </w:tblPr>
      <w:tblGrid>
        <w:gridCol w:w="573"/>
        <w:gridCol w:w="1090"/>
        <w:gridCol w:w="6678"/>
        <w:gridCol w:w="453"/>
        <w:gridCol w:w="455"/>
      </w:tblGrid>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bookmarkStart w:id="288" w:name="_Hlk106725586"/>
            <w:r>
              <w:rPr>
                <w:rFonts w:hint="eastAsia" w:ascii="宋体" w:hAnsi="宋体" w:cs="宋体"/>
                <w:color w:val="000000"/>
                <w:kern w:val="0"/>
                <w:sz w:val="24"/>
                <w:lang w:bidi="ar"/>
              </w:rPr>
              <w:t>序号</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模块名称</w:t>
            </w:r>
          </w:p>
        </w:tc>
        <w:tc>
          <w:tcPr>
            <w:tcW w:w="3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参数及功能要求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LED显示屏</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cs="宋体"/>
                <w:color w:val="000000"/>
                <w:kern w:val="0"/>
                <w:sz w:val="24"/>
                <w:lang w:bidi="ar"/>
              </w:rPr>
              <w:t>1.像素间距≤ 1.86mm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2.显示尺寸：≥5.12*2.24m，分辨率：≥2752*1204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3.铝底壳工艺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 模组平整度：≤0.1mm；白平衡亮度≥</w:t>
            </w:r>
            <w:r>
              <w:rPr>
                <w:rFonts w:ascii="宋体" w:hAnsi="宋体" w:cs="宋体"/>
                <w:color w:val="000000"/>
                <w:kern w:val="0"/>
                <w:sz w:val="24"/>
                <w:lang w:bidi="ar"/>
              </w:rPr>
              <w:t>500</w:t>
            </w:r>
            <w:r>
              <w:rPr>
                <w:rFonts w:hint="eastAsia" w:ascii="宋体" w:hAnsi="宋体" w:cs="宋体"/>
                <w:color w:val="000000"/>
                <w:kern w:val="0"/>
                <w:sz w:val="24"/>
                <w:lang w:bidi="ar"/>
              </w:rPr>
              <w:t>cd/㎡；需提供</w:t>
            </w:r>
            <w:r>
              <w:rPr>
                <w:rFonts w:hint="eastAsia"/>
                <w:sz w:val="24"/>
              </w:rPr>
              <w:t>国家认可的第三方权威检测机构出具的</w:t>
            </w:r>
            <w:r>
              <w:rPr>
                <w:rFonts w:hint="eastAsia" w:ascii="宋体" w:hAnsi="宋体" w:cs="宋体"/>
                <w:color w:val="000000"/>
                <w:kern w:val="0"/>
                <w:sz w:val="24"/>
                <w:lang w:bidi="ar"/>
              </w:rPr>
              <w:t>检测报告并加盖厂家公章；</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5. 模组电源接口采用 4P 接插头，免工具维护，同时有防呆设计，预防接错电源线短路而导致的烧毁模组行为；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 采用抗消隐设计，无“毛毛虫”“鬼影”跟随现象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 具备单模数据组存储功能，校正数据自动回读技术。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 色温可调范围：3000k</w:t>
            </w:r>
            <w:r>
              <w:rPr>
                <w:rFonts w:ascii="Times New Roman" w:hAnsi="Times New Roman"/>
                <w:color w:val="000000"/>
                <w:kern w:val="0"/>
                <w:sz w:val="24"/>
                <w:lang w:bidi="ar"/>
              </w:rPr>
              <w:t>~</w:t>
            </w:r>
            <w:r>
              <w:rPr>
                <w:rFonts w:hint="eastAsia" w:ascii="宋体" w:hAnsi="宋体" w:cs="宋体"/>
                <w:color w:val="000000"/>
                <w:kern w:val="0"/>
                <w:sz w:val="24"/>
                <w:lang w:bidi="ar"/>
              </w:rPr>
              <w:t>15000k，并可自定义色温值；对比度 5</w:t>
            </w:r>
            <w:r>
              <w:rPr>
                <w:rFonts w:ascii="宋体" w:hAnsi="宋体" w:cs="宋体"/>
                <w:color w:val="000000"/>
                <w:kern w:val="0"/>
                <w:sz w:val="24"/>
                <w:lang w:bidi="ar"/>
              </w:rPr>
              <w:t>5</w:t>
            </w:r>
            <w:r>
              <w:rPr>
                <w:rFonts w:hint="eastAsia" w:ascii="宋体" w:hAnsi="宋体" w:cs="宋体"/>
                <w:color w:val="000000"/>
                <w:kern w:val="0"/>
                <w:sz w:val="24"/>
                <w:lang w:bidi="ar"/>
              </w:rPr>
              <w:t>00:1；需提供</w:t>
            </w:r>
            <w:r>
              <w:rPr>
                <w:rFonts w:hint="eastAsia"/>
                <w:sz w:val="24"/>
              </w:rPr>
              <w:t>国家认可的第三方权威检测机构出具的</w:t>
            </w:r>
            <w:r>
              <w:rPr>
                <w:rFonts w:hint="eastAsia" w:ascii="宋体" w:hAnsi="宋体" w:cs="宋体"/>
                <w:color w:val="000000"/>
                <w:kern w:val="0"/>
                <w:sz w:val="24"/>
                <w:lang w:bidi="ar"/>
              </w:rPr>
              <w:t>检测报告并加盖厂家公章；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9.智能除湿功能，通过预热灯珠，蒸发掉灯珠内部湿气;</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 视角：水平视角≥160°，垂直视角≥140°；需提供</w:t>
            </w:r>
            <w:r>
              <w:rPr>
                <w:rFonts w:hint="eastAsia"/>
                <w:sz w:val="24"/>
              </w:rPr>
              <w:t>国家认可的第三方权威检测机构出具的</w:t>
            </w:r>
            <w:r>
              <w:rPr>
                <w:rFonts w:hint="eastAsia" w:ascii="宋体" w:hAnsi="宋体" w:cs="宋体"/>
                <w:color w:val="000000"/>
                <w:kern w:val="0"/>
                <w:sz w:val="24"/>
                <w:lang w:bidi="ar"/>
              </w:rPr>
              <w:t>检测报告并加盖厂家公章</w:t>
            </w:r>
            <w:r>
              <w:rPr>
                <w:rFonts w:hint="eastAsia"/>
              </w:rPr>
              <w:t>；</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11. 刷新频率≥3840HZ；需提供</w:t>
            </w:r>
            <w:r>
              <w:rPr>
                <w:rFonts w:hint="eastAsia" w:ascii="宋体" w:hAnsi="宋体" w:cs="宋体"/>
                <w:sz w:val="24"/>
              </w:rPr>
              <w:t>国家认可的第三方权威检测机构出具的</w:t>
            </w:r>
            <w:r>
              <w:rPr>
                <w:rFonts w:hint="eastAsia" w:ascii="宋体" w:hAnsi="宋体" w:cs="宋体"/>
                <w:color w:val="000000"/>
                <w:kern w:val="0"/>
                <w:sz w:val="24"/>
                <w:lang w:bidi="ar"/>
              </w:rPr>
              <w:t>检测报告并加盖</w:t>
            </w:r>
            <w:r>
              <w:rPr>
                <w:rFonts w:hint="eastAsia" w:ascii="宋体" w:hAnsi="宋体" w:cs="宋体"/>
                <w:color w:val="000000"/>
                <w:kern w:val="0"/>
                <w:sz w:val="24"/>
              </w:rPr>
              <w:t>投标人公章</w:t>
            </w:r>
            <w:r>
              <w:rPr>
                <w:rFonts w:hint="eastAsia" w:ascii="宋体" w:hAnsi="宋体" w:cs="宋体"/>
                <w:sz w:val="24"/>
              </w:rPr>
              <w:t>；</w:t>
            </w:r>
            <w:r>
              <w:rPr>
                <w:rFonts w:hint="eastAsia" w:ascii="宋体" w:hAnsi="宋体" w:cs="宋体"/>
                <w:kern w:val="0"/>
                <w:sz w:val="24"/>
                <w:lang w:bidi="ar"/>
              </w:rPr>
              <w:br w:type="textWrapping"/>
            </w:r>
            <w:r>
              <w:rPr>
                <w:rFonts w:hint="eastAsia" w:ascii="宋体" w:hAnsi="宋体" w:cs="宋体"/>
                <w:color w:val="000000"/>
                <w:kern w:val="0"/>
                <w:sz w:val="24"/>
                <w:lang w:bidi="ar"/>
              </w:rPr>
              <w:t>#12. 换帧频率：50&amp;60&amp;</w:t>
            </w:r>
            <w:r>
              <w:rPr>
                <w:rFonts w:ascii="宋体" w:hAnsi="宋体" w:cs="宋体"/>
                <w:color w:val="000000"/>
                <w:kern w:val="0"/>
                <w:sz w:val="24"/>
                <w:lang w:bidi="ar"/>
              </w:rPr>
              <w:t>120</w:t>
            </w:r>
            <w:r>
              <w:rPr>
                <w:rFonts w:hint="eastAsia" w:ascii="宋体" w:hAnsi="宋体" w:cs="宋体"/>
                <w:color w:val="000000"/>
                <w:kern w:val="0"/>
                <w:sz w:val="24"/>
                <w:lang w:bidi="ar"/>
              </w:rPr>
              <w:t>HZ；灰度：100%亮度 16bit 灰度，20%亮度 12bit 灰度；模组亮度均匀性≥9</w:t>
            </w:r>
            <w:r>
              <w:rPr>
                <w:rFonts w:ascii="宋体" w:hAnsi="宋体" w:cs="宋体"/>
                <w:color w:val="000000"/>
                <w:kern w:val="0"/>
                <w:sz w:val="24"/>
                <w:lang w:bidi="ar"/>
              </w:rPr>
              <w:t>8.8</w:t>
            </w:r>
            <w:r>
              <w:rPr>
                <w:rFonts w:hint="eastAsia" w:ascii="宋体" w:hAnsi="宋体" w:cs="宋体"/>
                <w:color w:val="000000"/>
                <w:kern w:val="0"/>
                <w:sz w:val="24"/>
                <w:lang w:bidi="ar"/>
              </w:rPr>
              <w:t>%；需提供</w:t>
            </w:r>
            <w:r>
              <w:rPr>
                <w:rFonts w:hint="eastAsia"/>
                <w:sz w:val="24"/>
              </w:rPr>
              <w:t>国家认可的第三方权威检测机构出具的</w:t>
            </w:r>
            <w:r>
              <w:rPr>
                <w:rFonts w:hint="eastAsia" w:ascii="宋体" w:hAnsi="宋体" w:cs="宋体"/>
                <w:color w:val="000000"/>
                <w:kern w:val="0"/>
                <w:sz w:val="24"/>
                <w:lang w:bidi="ar"/>
              </w:rPr>
              <w:t>检测报告并加盖厂家公章</w:t>
            </w:r>
            <w:r>
              <w:rPr>
                <w:rFonts w:hint="eastAsia"/>
              </w:rPr>
              <w:t>；</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13.单点亮度校正，通过调整流入每个 LED 的电流控制像素亮度，从而实现整屏一致的亮度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#14.寿命典型值≥100000 小时、平均无故障时间≥100000 小时；</w:t>
            </w:r>
            <w:r>
              <w:rPr>
                <w:rFonts w:hint="eastAsia" w:ascii="宋体" w:hAnsi="宋体" w:cs="宋体"/>
                <w:color w:val="000000" w:themeColor="text1"/>
                <w:kern w:val="0"/>
                <w:sz w:val="24"/>
                <w:lang w:bidi="ar"/>
                <w14:textFill>
                  <w14:solidFill>
                    <w14:schemeClr w14:val="tx1"/>
                  </w14:solidFill>
                </w14:textFill>
              </w:rPr>
              <w:t>智能节电：带有智能（黑屏）节电功能，开启智能节电功能比没有开启节能</w:t>
            </w:r>
            <w:r>
              <w:rPr>
                <w:rFonts w:ascii="宋体" w:hAnsi="宋体" w:cs="宋体"/>
                <w:color w:val="000000" w:themeColor="text1"/>
                <w:kern w:val="0"/>
                <w:sz w:val="24"/>
                <w:lang w:bidi="ar"/>
                <w14:textFill>
                  <w14:solidFill>
                    <w14:schemeClr w14:val="tx1"/>
                  </w14:solidFill>
                </w14:textFill>
              </w:rPr>
              <w:t>40%以上</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kern w:val="0"/>
                <w:sz w:val="24"/>
                <w:lang w:bidi="ar"/>
              </w:rPr>
              <w:t>产品满足盐雾 10 级要求；IP 等级符合 IP6X；峰值功耗≤</w:t>
            </w:r>
            <w:r>
              <w:rPr>
                <w:rFonts w:ascii="宋体" w:hAnsi="宋体" w:cs="宋体"/>
                <w:color w:val="000000"/>
                <w:kern w:val="0"/>
                <w:sz w:val="24"/>
                <w:lang w:bidi="ar"/>
              </w:rPr>
              <w:t>377</w:t>
            </w:r>
            <w:r>
              <w:rPr>
                <w:rFonts w:hint="eastAsia" w:ascii="宋体" w:hAnsi="宋体" w:cs="宋体"/>
                <w:color w:val="000000"/>
                <w:kern w:val="0"/>
                <w:sz w:val="24"/>
                <w:lang w:bidi="ar"/>
              </w:rPr>
              <w:t>W/㎡、平均功耗≤1</w:t>
            </w:r>
            <w:r>
              <w:rPr>
                <w:rFonts w:ascii="宋体" w:hAnsi="宋体" w:cs="宋体"/>
                <w:color w:val="000000"/>
                <w:kern w:val="0"/>
                <w:sz w:val="24"/>
                <w:lang w:bidi="ar"/>
              </w:rPr>
              <w:t>20</w:t>
            </w:r>
            <w:r>
              <w:rPr>
                <w:rFonts w:hint="eastAsia" w:ascii="宋体" w:hAnsi="宋体" w:cs="宋体"/>
                <w:color w:val="000000"/>
                <w:kern w:val="0"/>
                <w:sz w:val="24"/>
                <w:lang w:bidi="ar"/>
              </w:rPr>
              <w:t>W/㎡；需提供</w:t>
            </w:r>
            <w:r>
              <w:rPr>
                <w:rFonts w:hint="eastAsia"/>
                <w:sz w:val="24"/>
              </w:rPr>
              <w:t>国家认可的第三方权威检测机构出具的</w:t>
            </w:r>
            <w:r>
              <w:rPr>
                <w:rFonts w:hint="eastAsia" w:ascii="宋体" w:hAnsi="宋体" w:cs="宋体"/>
                <w:color w:val="000000"/>
                <w:kern w:val="0"/>
                <w:sz w:val="24"/>
                <w:lang w:bidi="ar"/>
              </w:rPr>
              <w:t>检测报告并加盖厂家公章</w:t>
            </w:r>
            <w:r>
              <w:rPr>
                <w:rFonts w:hint="eastAsia"/>
                <w:sz w:val="24"/>
              </w:rPr>
              <w:t>；</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#15.模拟九级地震实验，检验结果正常；PCB 防火等级达 V-0 级；抗紫外 UV 辐射 符合 5 级；冷热冲击实验，检验结果正常；光生物安全：无危害；稳定性：支持 7*24H 连续工作；抗电强度 U=1500VAC；T=60S；需提供</w:t>
            </w:r>
            <w:r>
              <w:rPr>
                <w:rFonts w:hint="eastAsia"/>
                <w:sz w:val="24"/>
              </w:rPr>
              <w:t>国家认可的第三方权威检测机构出具的</w:t>
            </w:r>
            <w:r>
              <w:rPr>
                <w:rFonts w:hint="eastAsia" w:ascii="宋体" w:hAnsi="宋体" w:cs="宋体"/>
                <w:color w:val="000000"/>
                <w:kern w:val="0"/>
                <w:sz w:val="24"/>
                <w:lang w:bidi="ar"/>
              </w:rPr>
              <w:t>检测报告并加盖厂家公章</w:t>
            </w:r>
            <w:r>
              <w:rPr>
                <w:rFonts w:hint="eastAsia"/>
              </w:rPr>
              <w:t>；</w:t>
            </w:r>
          </w:p>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 xml:space="preserve">16.智能色温，有标准/视频/文本 3 种模式可调节;                                                                         </w:t>
            </w:r>
          </w:p>
          <w:p>
            <w:pPr>
              <w:widowControl/>
              <w:jc w:val="left"/>
              <w:textAlignment w:val="top"/>
              <w:rPr>
                <w:rFonts w:ascii="宋体" w:hAnsi="宋体" w:cs="宋体"/>
                <w:sz w:val="24"/>
              </w:rPr>
            </w:pPr>
            <w:r>
              <w:rPr>
                <w:rFonts w:hint="eastAsia" w:ascii="宋体" w:hAnsi="宋体" w:cs="宋体"/>
                <w:sz w:val="24"/>
              </w:rPr>
              <w:t>#17.提供LED显示屏的CCC、节能、CB、HDR2.0认证证书；</w:t>
            </w:r>
            <w:r>
              <w:rPr>
                <w:rFonts w:hint="eastAsia" w:ascii="宋体" w:hAnsi="宋体" w:cs="宋体"/>
                <w:color w:val="000000"/>
                <w:kern w:val="0"/>
                <w:sz w:val="24"/>
                <w:lang w:bidi="ar"/>
              </w:rPr>
              <w:t>LED生产制造厂家须具有商品售后服务评价体系；（需提供证书复印件并加盖厂家公章）</w:t>
            </w:r>
          </w:p>
          <w:p>
            <w:pPr>
              <w:widowControl/>
              <w:jc w:val="left"/>
              <w:rPr>
                <w:rFonts w:ascii="宋体" w:hAnsi="宋体" w:cs="宋体"/>
                <w:sz w:val="24"/>
              </w:rPr>
            </w:pPr>
            <w:r>
              <w:rPr>
                <w:rFonts w:hint="eastAsia" w:ascii="宋体" w:hAnsi="宋体" w:cs="宋体"/>
                <w:sz w:val="24"/>
              </w:rPr>
              <w:t>#18.为确保结构安全，要求必须由原厂商制作和安装钢结构。必须具有安全生产许可证、电子与智能化工程专业承包贰级或以上资质、钢结构工程专业承包叁级，提供对应的复印件并加盖厂家公章；</w:t>
            </w:r>
          </w:p>
          <w:p>
            <w:pPr>
              <w:widowControl/>
              <w:jc w:val="left"/>
              <w:rPr>
                <w:rFonts w:ascii="宋体" w:hAnsi="宋体" w:cs="宋体"/>
                <w:color w:val="000000"/>
                <w:kern w:val="0"/>
                <w:lang w:bidi="ar"/>
              </w:rPr>
            </w:pPr>
            <w:r>
              <w:rPr>
                <w:rFonts w:hint="eastAsia" w:ascii="宋体" w:hAnsi="宋体" w:cs="宋体"/>
                <w:sz w:val="24"/>
              </w:rPr>
              <w:t>#19.需提供原厂</w:t>
            </w:r>
            <w:r>
              <w:rPr>
                <w:rFonts w:hint="eastAsia" w:ascii="宋体" w:hAnsi="宋体" w:cs="宋体"/>
                <w:color w:val="000000" w:themeColor="text1"/>
                <w:kern w:val="0"/>
                <w:sz w:val="24"/>
                <w:lang w:bidi="ar"/>
                <w14:textFill>
                  <w14:solidFill>
                    <w14:schemeClr w14:val="tx1"/>
                  </w14:solidFill>
                </w14:textFill>
              </w:rPr>
              <w:t>针对本项目的</w:t>
            </w:r>
            <w:r>
              <w:rPr>
                <w:rFonts w:hint="eastAsia" w:ascii="宋体" w:hAnsi="宋体" w:cs="宋体"/>
                <w:sz w:val="24"/>
              </w:rPr>
              <w:t>售后服务承诺函并</w:t>
            </w:r>
            <w:r>
              <w:rPr>
                <w:rFonts w:hint="eastAsia" w:ascii="宋体" w:hAnsi="宋体" w:cs="宋体"/>
                <w:color w:val="000000"/>
                <w:kern w:val="0"/>
                <w:sz w:val="24"/>
                <w:lang w:bidi="ar"/>
              </w:rPr>
              <w:t>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视频拼接处理器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255"/>
                <w:numId w:val="0"/>
              </w:numPr>
              <w:jc w:val="left"/>
              <w:rPr>
                <w:rFonts w:ascii="宋体" w:hAnsi="宋体" w:cs="宋体"/>
                <w:color w:val="000000"/>
                <w:kern w:val="0"/>
                <w:sz w:val="24"/>
                <w:lang w:bidi="ar"/>
              </w:rPr>
            </w:pPr>
            <w:r>
              <w:rPr>
                <w:rFonts w:hint="eastAsia" w:ascii="宋体" w:hAnsi="宋体" w:cs="宋体"/>
                <w:color w:val="000000"/>
                <w:kern w:val="0"/>
                <w:sz w:val="24"/>
                <w:lang w:bidi="ar"/>
              </w:rPr>
              <w:t>硬件架构性能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1）拼接处理器采用纯硬件模块化插卡式架构，无内置PC/X86/X64架构硬件。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#2）单台设备最大规模支持304路高清信号输入，160路高清信号输出。电信级的背板交换架构，背板为每路高清信号单独提供6.25Gbps 串行带宽，单输入板25Gbps带宽，单输出板50Gbps带宽，背板总带宽大于2T。输入卡可混插到输入和输出槽位，具备输入输出通用混插插槽。平均故障时间间隔（MTBF）不低于100000小时，保证设备正常稳定运行。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2.4K 、主动立体拼接功能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#1）单卡同时支持HDMI 2.0及DP 1.2 4K@60Hz信号源输入，单接口支持3840x2160@60Hz信号处理，支持HDCP 2.2;单卡同时支持DL-DVI和DP 4K@30Hz 信号输入; 单卡同时支持2路 DP 4K@30Hz信号同时具有VESA 3D 信号输入，支持 HDMI1.4、HDbaseT 4K@30Hz 信号输入。支持SDI、HDMI、VGA、CVBS、YPbPr、IP、DVI、HDBaseT等信号的混合输入，DVI-M输入卡，单张输入卡可同时支持HDMI/DVI/VGA/YPbPr/Cvbs所有标准输入，支持3G SDI 60Hz输入，输出支持DVI、HDMI、VGA、Dual-link DVI、SDI、HDBaseT等信号。输出画面支持4K信号之间以及4K信号与普通HD、SD信号混合拼接、 叠加、跨屏、缩放、分割功能。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w:t>
            </w:r>
            <w:r>
              <w:rPr>
                <w:rFonts w:ascii="宋体" w:hAnsi="宋体" w:cs="宋体"/>
                <w:color w:val="000000"/>
                <w:kern w:val="0"/>
                <w:sz w:val="24"/>
                <w:lang w:bidi="ar"/>
              </w:rPr>
              <w:t>2</w:t>
            </w:r>
            <w:r>
              <w:rPr>
                <w:rFonts w:hint="eastAsia" w:ascii="宋体" w:hAnsi="宋体" w:cs="宋体"/>
                <w:color w:val="000000"/>
                <w:kern w:val="0"/>
                <w:sz w:val="24"/>
                <w:lang w:bidi="ar"/>
              </w:rPr>
              <w:t>）支持单接口1920x1200@120Hz 、 3840x1200@120Hz 等分辨率主动立体信号输入。支持输入多接口8K-16K信号保证所有输出同步，8K-16K显示不撕裂、不丢帧、高度同步。支持系统全同步、非同步和内部源同步模式；具有单独板卡支持VESA、 BNC 3D 信号输入输出。支持Nvidia 3D vision、DLP link、 IR主动立体。支持主动立体信号与非立体信号混合开窗，多路主动立体信号同时输入同步保持功能。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 图像处理性能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输入输出延迟低于2帧。支持全屏信号源预监、大屏图像回显功能，最多支持256路信号的同时预监和回显。输入热备份功能选项卡，支持自动切换丢失信号源到备份信号源。支持在拼接屏上显示世界时钟，至少4种以上不同时区的时间;设备具备静态底图功能，底图功能无需配置额外的功能卡，设备支持超大分辨率底图显示。支持输入台标标注功能，支持文字和图片。支持滚动字幕，字体大小、颜色、位置、滚动速度可自定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 图像处理能力</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 支持 4:4:4 图像无损处理，不丢失任何像素细节，内部处理信号不丢帧不降帧，任何分辨率下60Hz不丢帧。具备LCD/DLP屏垂直同步补偿能力，能够消除上下多行屏间画面撕裂的果冻效应。支持拼接屏之间的拼缝像素补偿，可设置正值和负值。</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w:t>
            </w:r>
            <w:r>
              <w:rPr>
                <w:rFonts w:ascii="宋体" w:hAnsi="宋体" w:cs="宋体"/>
                <w:color w:val="000000"/>
                <w:kern w:val="0"/>
                <w:sz w:val="24"/>
                <w:lang w:bidi="ar"/>
              </w:rPr>
              <w:t>2</w:t>
            </w:r>
            <w:r>
              <w:rPr>
                <w:rFonts w:hint="eastAsia" w:ascii="宋体" w:hAnsi="宋体" w:cs="宋体"/>
                <w:color w:val="000000"/>
                <w:kern w:val="0"/>
                <w:sz w:val="24"/>
                <w:lang w:bidi="ar"/>
              </w:rPr>
              <w:t>)单台设备同时支持普通拼接、竖屏拼接、0-360度任意角度旋转创意拼接。输出画面分辨率点对点显示不拉伸变形，不丢失损伤像素。支持输出通道测试，可以自定义测试颜色及网格图像。输入输出接口分辨率可自定义为非标准分辨率；支持在线修改EDID，无需第三方工具；自定义输出有效范围达到4096x4096，支持奇数水平像数输出(比如1921x1080),有效输出区域完全可自定义。支持输入输出图像裁剪，实现图像切边、局部放大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 管理控制功能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 触控面板图形化显示设备IP地址，设备型号，显示输入板卡、输出板卡状态。单台设备支持对多组屏同时控制，不同组分辨率可不相同；支持故障检测功能，支持输入信号信息检测功能，彩色标示。同时支持B/S和C/S两种控制方式。双串口控制方式，支持串口环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 支持板卡热拔插更换，支持板卡在线升级。支持平板电脑端控制，任意窗口的新建、缩放、拖动、漫游等操作，可查看可调用模式。高可靠性可插拔N+1冗余备份电源，8U以上大规模设备采用铝制机箱，优化传导散热及重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以上“#”号项；需提供</w:t>
            </w:r>
            <w:r>
              <w:rPr>
                <w:rFonts w:hint="eastAsia"/>
                <w:sz w:val="24"/>
              </w:rPr>
              <w:t>国家认可的第三方权威检测机构出具的</w:t>
            </w:r>
            <w:r>
              <w:rPr>
                <w:rFonts w:hint="eastAsia" w:ascii="宋体" w:hAnsi="宋体" w:cs="宋体"/>
                <w:color w:val="000000"/>
                <w:kern w:val="0"/>
                <w:sz w:val="24"/>
                <w:lang w:bidi="ar"/>
              </w:rPr>
              <w:t>检测报告并加盖厂家公章</w:t>
            </w:r>
            <w:r>
              <w:rPr>
                <w:rFonts w:hint="eastAsia"/>
              </w:rPr>
              <w:t>；</w:t>
            </w:r>
          </w:p>
          <w:p>
            <w:pPr>
              <w:widowControl/>
              <w:numPr>
                <w:ilvl w:val="255"/>
                <w:numId w:val="0"/>
              </w:numPr>
              <w:jc w:val="left"/>
              <w:textAlignment w:val="top"/>
              <w:rPr>
                <w:rFonts w:ascii="宋体" w:hAnsi="宋体" w:cs="宋体"/>
                <w:color w:val="000000"/>
                <w:sz w:val="24"/>
              </w:rPr>
            </w:pPr>
            <w:r>
              <w:rPr>
                <w:rFonts w:hint="eastAsia" w:ascii="宋体" w:hAnsi="宋体" w:cs="宋体"/>
                <w:color w:val="000000"/>
                <w:kern w:val="0"/>
                <w:sz w:val="24"/>
                <w:lang w:bidi="ar"/>
              </w:rPr>
              <w:t>#6.需提供厂家</w:t>
            </w:r>
            <w:r>
              <w:rPr>
                <w:rFonts w:hint="eastAsia" w:ascii="宋体" w:hAnsi="宋体" w:cs="宋体"/>
                <w:color w:val="000000" w:themeColor="text1"/>
                <w:kern w:val="0"/>
                <w:sz w:val="24"/>
                <w:lang w:bidi="ar"/>
                <w14:textFill>
                  <w14:solidFill>
                    <w14:schemeClr w14:val="tx1"/>
                  </w14:solidFill>
                </w14:textFill>
              </w:rPr>
              <w:t>针对本项目的</w:t>
            </w:r>
            <w:r>
              <w:rPr>
                <w:rFonts w:hint="eastAsia" w:ascii="宋体" w:hAnsi="宋体" w:cs="宋体"/>
                <w:color w:val="000000"/>
                <w:kern w:val="0"/>
                <w:sz w:val="24"/>
                <w:lang w:bidi="ar"/>
              </w:rPr>
              <w:t>售后服务承诺函并加盖厂家公章。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LED控制器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1、实现智能配置，屏幕调试可在30秒内完成；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2、USB或RS232接口控制；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3、可级联多台进行统一控制；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4、最大带载分辨率2048×1152或1920×1200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接收卡</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单卡最大带载 512×384 像素，支持色彩管理、逐点亮色度校正、RGB 独立 Gamma 调节、3D 等功能，</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配电系统</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 xml:space="preserve">1、需支持远程控制，满足过流、短路、断路、过压、欠压等保护措施，支持远程上电、分步上电的功能，具有状态自动检测与状态 </w:t>
            </w:r>
            <w:r>
              <w:rPr>
                <w:rFonts w:ascii="宋体" w:hAnsi="宋体" w:cs="宋体"/>
                <w:color w:val="000000"/>
                <w:kern w:val="0"/>
                <w:sz w:val="24"/>
                <w:lang w:bidi="ar"/>
              </w:rPr>
              <w:t xml:space="preserve"> </w:t>
            </w:r>
            <w:r>
              <w:rPr>
                <w:rFonts w:hint="eastAsia" w:ascii="宋体" w:hAnsi="宋体" w:cs="宋体"/>
                <w:color w:val="000000"/>
                <w:kern w:val="0"/>
                <w:sz w:val="24"/>
                <w:lang w:bidi="ar"/>
              </w:rPr>
              <w:t>异常报警功能。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#2、需提供智能配电管理类软件著作权登记证书复印件并加盖厂家公章。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钢结构与装饰边</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1、定制支架，现场定制铝型材结构，坚固耐用，承重性强。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#2、为确保结构安全，要求由L</w:t>
            </w:r>
            <w:r>
              <w:rPr>
                <w:rFonts w:ascii="宋体" w:hAnsi="宋体" w:cs="宋体"/>
                <w:color w:val="000000"/>
                <w:kern w:val="0"/>
                <w:sz w:val="24"/>
                <w:lang w:bidi="ar"/>
              </w:rPr>
              <w:t>ED</w:t>
            </w:r>
            <w:r>
              <w:rPr>
                <w:rFonts w:hint="eastAsia" w:ascii="宋体" w:hAnsi="宋体" w:cs="宋体"/>
                <w:color w:val="000000"/>
                <w:kern w:val="0"/>
                <w:sz w:val="24"/>
                <w:lang w:bidi="ar"/>
              </w:rPr>
              <w:t>屏厂商制作和安装钢结构。L</w:t>
            </w:r>
            <w:r>
              <w:rPr>
                <w:rFonts w:ascii="宋体" w:hAnsi="宋体" w:cs="宋体"/>
                <w:color w:val="000000"/>
                <w:kern w:val="0"/>
                <w:sz w:val="24"/>
                <w:lang w:bidi="ar"/>
              </w:rPr>
              <w:t>ED</w:t>
            </w:r>
            <w:r>
              <w:rPr>
                <w:rFonts w:hint="eastAsia" w:ascii="宋体" w:hAnsi="宋体" w:cs="宋体"/>
                <w:color w:val="000000"/>
                <w:kern w:val="0"/>
                <w:sz w:val="24"/>
                <w:lang w:bidi="ar"/>
              </w:rPr>
              <w:t>屏厂家需具有钢结构工程专业承包叁级或以上资质，需提供证明文件,原件备查。</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安装、调试</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显示屏安装、支架安装及调试</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全频音箱</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1、单元组件：LF:8"×1/HF:φ34mm×1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2、频率响应(±3dB)：65Hz--17kHz,灵敏度(1m/1W)：92dB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3、功率（连续/峰值）:150W/300W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4、指向性（H×V）：80°×50°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5、标称阻抗：8Ω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音箱壁架</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壁挂支架，用于音箱的壁挂安装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数字功放</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功能特点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#1、带LCD液晶屏；设备采用1U机箱设计，具有体积小、重量轻等特点；采用最新D类功放设计方案，具有失真小、效率高等特点;内置2x2DANTE处理器模块；（提供设备图片及DANTE接口图片，加盖厂家公章）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2、额定功率(EIAJTHD=1%,1kHz，2通道同时工作):立体声8Ω：350W×2；立体声4Ω：500W×2；立体声2Ω：600W×2；桥接16Ω：700W×1；桥接8Ω：1000W×1；桥接4Ω：1200W×1；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3、RMS输出电压(THD=1%,1kHz):70V；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4、电压增益33dB；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5、内置2x2数字DSP处理器模块；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#6、DSP具备：输入输出电平控制，均衡，滤波器EQ，延时，限幅，RMS压缩器，Link联接，静音，相位反转，增益，输入输出矩阵等功能；（提供设备操作界面图片并加盖厂家公章）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7、监控和永久记录关键参数及音箱库文件；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8、每路输出144FIRtaps；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9、100Mbit可级联LAN；</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10、灵活的信号路由矩阵；</w:t>
            </w:r>
          </w:p>
          <w:p>
            <w:pPr>
              <w:widowControl/>
              <w:jc w:val="left"/>
              <w:textAlignment w:val="top"/>
              <w:rPr>
                <w:rFonts w:ascii="宋体" w:hAnsi="宋体" w:cs="宋体"/>
                <w:color w:val="000000"/>
                <w:sz w:val="24"/>
              </w:rPr>
            </w:pPr>
            <w:r>
              <w:rPr>
                <w:rFonts w:hint="eastAsia" w:ascii="宋体" w:hAnsi="宋体" w:cs="宋体"/>
                <w:color w:val="000000"/>
                <w:kern w:val="0"/>
                <w:sz w:val="24"/>
                <w:lang w:bidi="ar"/>
              </w:rPr>
              <w:t>11、兼容AES67通讯协议；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#12、所投专业数字功放内置专业数字功放嵌入式软件，数字功放分区软件、数字功放音频处理软件、专业数字功放内置的三个软件需提供软件著作权证书，并加盖厂商公章；需</w:t>
            </w:r>
            <w:r>
              <w:rPr>
                <w:rFonts w:hint="eastAsia" w:ascii="宋体" w:hAnsi="宋体" w:cs="宋体"/>
                <w:color w:val="000000" w:themeColor="text1"/>
                <w:kern w:val="0"/>
                <w:sz w:val="24"/>
                <w:lang w:bidi="ar"/>
                <w14:textFill>
                  <w14:solidFill>
                    <w14:schemeClr w14:val="tx1"/>
                  </w14:solidFill>
                </w14:textFill>
              </w:rPr>
              <w:t>提供厂家针对本项目的售后服务承诺书并加盖厂家公章。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真分集无线麦克风1</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1、真分集接收机,双通道独立选讯系统、能最大限度降低了断频的发生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2、双通道独立AFS频率自动搜索功能,能迅速扫描所在工作环境中干忧最少的频率并锁定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3、接收机与发射机通过IR红外对频技术,一键同步对码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4、包含1台接收机、2只无线手持话筒和4根天线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真分集无线麦克风2</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1、真分集接收机,双通道独立选讯系统、能最大限度降低了断频的发生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2、双通道独立AFS频率自动搜索功能,能迅速扫描所在工作环境中干忧最少的频率并锁定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3、接收机与发射机通过IR红外对频技术,一键同步对码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4、专业演出级别的相位锁定电路,配合杂讯锁定静噪控制与数码导频技术, 当发射器关闭时，导频控制将AF信号静音以抑制噪声，同时将对应的接收机静音。保证了对干忧信号的有效阻隔</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5、背光式LED显示屏指示了RF和AF信号强度，电池状态，分集通道指示(A/B)，频率，频率组/频道等工作状态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数字调音台</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1、16路信号输入（8MIC数字增益调节、2组立体声、1组返回、声卡/MP3+光纤)；8路信号输出（LR主输出，4编组输出，2辅助输出）；4个快捷场景调用模式，100个场景存储，可自定义场景名字，场景无缝切换，不会断音;4.3寸触摸屏，支持有线网口调节（或外接路由器无线调节）（提供功能界面截图与接口图片佐证，</w:t>
            </w:r>
            <w:r>
              <w:rPr>
                <w:rFonts w:hint="eastAsia" w:ascii="宋体" w:hAnsi="宋体"/>
                <w:color w:val="000000"/>
                <w:kern w:val="0"/>
                <w:sz w:val="24"/>
              </w:rPr>
              <w:t>并加盖投标人公章</w:t>
            </w:r>
            <w:r>
              <w:rPr>
                <w:rFonts w:hint="eastAsia" w:ascii="宋体" w:hAnsi="宋体" w:cs="宋体"/>
                <w:color w:val="000000"/>
                <w:kern w:val="0"/>
                <w:sz w:val="24"/>
                <w:lang w:bidi="ar"/>
              </w:rPr>
              <w:t>）</w:t>
            </w:r>
          </w:p>
          <w:p>
            <w:pPr>
              <w:widowControl/>
              <w:jc w:val="left"/>
              <w:textAlignment w:val="top"/>
              <w:rPr>
                <w:rFonts w:ascii="宋体" w:hAnsi="宋体" w:cs="宋体"/>
                <w:color w:val="000000"/>
                <w:sz w:val="24"/>
              </w:rPr>
            </w:pPr>
            <w:r>
              <w:rPr>
                <w:rFonts w:hint="eastAsia" w:ascii="宋体" w:hAnsi="宋体" w:cs="宋体"/>
                <w:color w:val="000000"/>
                <w:kern w:val="0"/>
                <w:sz w:val="24"/>
                <w:lang w:bidi="ar"/>
              </w:rPr>
              <w:t>2、MIC输入增益调节（数字增益）</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3、+48V幻象电源（MIC通道均可独立打开关闭）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4、各通道均设有多功能菜单，哑音和监听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5、通道均设有⾏程100MM电动推杆，信号、峰值灯（17个ALPS电动推子）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6、AUX输出（推子前/后）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7、每个输出通道处理:高低通滤波，15段参量均衡，压缩器，延时，相位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8、数字录音功能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9、双排3⾊色12段电平指示灯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10、内置声卡（手机、IPAD、MP3、PC直接播放、录音）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11、多操作系统操控软件（IOS系统，Android系统，WINDOWS系统）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12、支持有线网口调节（或外接路由器无线调节）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反馈抑制器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1、每通道最多可设12个动态陷波器，12个PEQ、分辨精度1HZ,工作频率20HZ-20KHZ、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2、响应时间快中慢3速可设定，陷波器增益、Q值、数量可调。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3、自动扫描啸叫点并抑制。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4、输入压缩功能，消除反馈同时更可扩展人声动态。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5、每通道。增益-80DB到0DB、噪声门、压限器、移频、陷波、高低通、7段PEQ功能设置。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6、每路设有5档移频选择，配合陷波器用，防啸叫效果出类拔萃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7、采用2英寸IPS真彩显示屏，分辨率320*240。支持中/英文菜单显示；提供USB和RS-485通讯接口，连接PC上位机及中控设备。（提供功能界面截图佐证，</w:t>
            </w:r>
            <w:r>
              <w:rPr>
                <w:rFonts w:hint="eastAsia" w:ascii="宋体" w:hAnsi="宋体"/>
                <w:color w:val="000000"/>
                <w:kern w:val="0"/>
                <w:sz w:val="24"/>
              </w:rPr>
              <w:t>并加盖投标人公章</w:t>
            </w:r>
            <w:r>
              <w:rPr>
                <w:rFonts w:hint="eastAsia" w:ascii="宋体" w:hAnsi="宋体" w:cs="宋体"/>
                <w:color w:val="000000"/>
                <w:kern w:val="0"/>
                <w:sz w:val="24"/>
                <w:lang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8、通过PC上位机可任意编辑5档预设模式，支持模式存档及EQ存档导入导出。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音频矩阵处理器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after="200"/>
              <w:jc w:val="left"/>
              <w:textAlignment w:val="top"/>
              <w:rPr>
                <w:rFonts w:ascii="宋体" w:hAnsi="宋体" w:cs="宋体"/>
                <w:color w:val="000000"/>
                <w:sz w:val="24"/>
              </w:rPr>
            </w:pPr>
            <w:r>
              <w:rPr>
                <w:rFonts w:hint="eastAsia" w:ascii="宋体" w:hAnsi="宋体" w:cs="宋体"/>
                <w:color w:val="000000"/>
                <w:kern w:val="0"/>
                <w:sz w:val="24"/>
                <w:lang w:bidi="ar"/>
              </w:rPr>
              <w:t>1、支持≥8路平衡式话筒/线路输入通道，支持≥8路平衡式线路输出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2、支持≥8路Dante音频输入，支持≥8路Dante音频输出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3、≥4路GPIO，≥1路RS232,≥1路RS485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4、反馈抑制(AFC):采用陷波式算法，传声增益提升幅度：10dB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5、回声消除（AEC）：尾长时间：512ms，收敛率：60dB/S，回声消除幅度：60dB；内置两进两出的USB声卡，支持音乐播放、录制和软视频会议（如：ZOOM，腾讯会议，钉钉会议等）（提供功能软件界面截图佐证，</w:t>
            </w:r>
            <w:r>
              <w:rPr>
                <w:rFonts w:hint="eastAsia" w:ascii="宋体" w:hAnsi="宋体"/>
                <w:color w:val="000000"/>
                <w:kern w:val="0"/>
                <w:sz w:val="24"/>
              </w:rPr>
              <w:t>并加盖投标人公章</w:t>
            </w:r>
            <w:r>
              <w:rPr>
                <w:rFonts w:hint="eastAsia" w:ascii="宋体" w:hAnsi="宋体" w:cs="宋体"/>
                <w:color w:val="000000"/>
                <w:kern w:val="0"/>
                <w:sz w:val="24"/>
                <w:lang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6、噪音抑制(ANS)：信噪比提升≥18dB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7、≥8段英式参量均衡，提供5种滤波器选择：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8、≥2x2USB音频通道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可编程网络中控系统主机</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3"/>
              </w:numPr>
              <w:jc w:val="left"/>
              <w:textAlignment w:val="top"/>
              <w:rPr>
                <w:rFonts w:ascii="宋体" w:hAnsi="宋体" w:cs="宋体"/>
                <w:color w:val="000000"/>
                <w:sz w:val="24"/>
              </w:rPr>
            </w:pPr>
            <w:r>
              <w:rPr>
                <w:rFonts w:hint="eastAsia" w:ascii="宋体" w:hAnsi="宋体" w:cs="宋体"/>
                <w:color w:val="000000"/>
                <w:kern w:val="0"/>
                <w:sz w:val="24"/>
                <w:lang w:bidi="ar"/>
              </w:rPr>
              <w:t>采用标准19英寸机柜设计，面板具有指示灯，可直观反馈串口、红外、设备的工作状态；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2、采用最新ARM多核处理器，处理速度最高可达900MHz，内存≥512M，Flash闪存≥8G。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#3、面板有≥4.3英寸触摸彩屏，可查看IP地址、修改IP地址。（提供功能界面截图佐证，并加盖厂家公章）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4、采用可编程控制平台，交互式的控制结构，中英文可编程界面。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主机具备8路独立可编程串口，可收发RS-232，RS-485及RS-422信号；支持串口环出功能，主机的8路串口均可实现任意一个输入都可以从另外一个串口环出。主机具备8路独立可编程IR红外发射口，内置红外学习器，可以支持对周边所有红外设备（如：DVD/TV）的控制，且单个红外接口可以同时连接控制多个不同设备，可以做RS232串口转发；主机具备8路数字I/0输入输出控制口，带保护电路；主机具备8路弱电继电器控制接口，支持USB2.0接口，可上传或下载程序；（提供接口图片佐证，</w:t>
            </w:r>
            <w:r>
              <w:rPr>
                <w:rFonts w:hint="eastAsia" w:ascii="宋体" w:hAnsi="宋体"/>
                <w:color w:val="000000"/>
                <w:kern w:val="0"/>
                <w:sz w:val="24"/>
              </w:rPr>
              <w:t>并加盖投标人公章</w:t>
            </w:r>
            <w:r>
              <w:rPr>
                <w:rFonts w:hint="eastAsia" w:ascii="宋体" w:hAnsi="宋体" w:cs="宋体"/>
                <w:color w:val="000000"/>
                <w:kern w:val="0"/>
                <w:sz w:val="24"/>
                <w:lang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6、前面板具有设备状态指示灯和电源指示灯，具备至少8路RS232/485/422通讯指示灯，8路红外数据通讯指示灯。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7、支持网络通讯：CT-NET，CT-LINK；TCP/IP；三种网络通讯方式；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8、支持大型组网集中管理；支持多会议室互控，远程上传和维护程序；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9、支持多台IOS平台（iPhone/ipad）、安卓平台等移动设备终端通过wifi与主机通讯，具备pc端触控软件通过windows平台进行控制；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10、支持双机热备份功能;</w:t>
            </w:r>
          </w:p>
          <w:p>
            <w:pPr>
              <w:widowControl/>
              <w:jc w:val="left"/>
              <w:textAlignment w:val="top"/>
              <w:rPr>
                <w:rFonts w:ascii="宋体" w:hAnsi="宋体" w:cs="宋体"/>
                <w:color w:val="000000"/>
                <w:sz w:val="24"/>
              </w:rPr>
            </w:pPr>
            <w:r>
              <w:rPr>
                <w:rFonts w:hint="eastAsia" w:ascii="宋体" w:hAnsi="宋体" w:cs="宋体"/>
                <w:color w:val="000000"/>
                <w:kern w:val="0"/>
                <w:sz w:val="24"/>
                <w:lang w:bidi="ar"/>
              </w:rPr>
              <w:t>11、支持多台网络中控主机实现级联控制，达到互联、互控的效果。（提供功能界面佐证，</w:t>
            </w:r>
            <w:r>
              <w:rPr>
                <w:rFonts w:hint="eastAsia" w:ascii="宋体" w:hAnsi="宋体"/>
                <w:color w:val="000000"/>
                <w:kern w:val="0"/>
                <w:sz w:val="24"/>
              </w:rPr>
              <w:t>并加盖投标人公章</w:t>
            </w:r>
            <w:r>
              <w:rPr>
                <w:rFonts w:hint="eastAsia" w:ascii="宋体" w:hAnsi="宋体" w:cs="宋体"/>
                <w:color w:val="000000"/>
                <w:kern w:val="0"/>
                <w:sz w:val="24"/>
                <w:lang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支持实现移动端或触控屏对会议室报告厅等场所的窗帘、灯光、空调、投影机、投影幕、电视机、LED显示屏等音视频设备电源控制，支持获取物联中控及周边设备的工作状态，支持对会议室内部环境的使用场景切换（如投影模式、会议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13、支持实现移动端或触控屏对音频处理器设备音量调节/静音控制/场景调用等、远程控制矩阵设备信号切换/场景调用，远程控制摄像机进行上下左右放大缩小调节/预置位调用、远程控制灯光亮度调节等功能。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14、支持与预约系统对接，可实现手机APP控制或web网页端控制；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15、支持语音指令交互控制。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16、支持设置密码权限。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17、支持可视化可编程控制，分布式架构，通过平板可视化监控每个会议室的音视频信号并远程控制灯光窗帘电源开关。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18、可实时控制会议室内设备，并监测设备控制状态；可实时监测应用环境中的温度，湿度，PM2.5。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#为保证系统稳定性，所投全频音箱、音频矩阵处理器、数字调音台、功放以及可编程网络中控系统主机、高清视频切换器需为同一品牌产品；</w:t>
            </w:r>
            <w:r>
              <w:rPr>
                <w:rFonts w:hint="eastAsia" w:ascii="宋体" w:hAnsi="宋体" w:cs="宋体"/>
                <w:color w:val="000000" w:themeColor="text1"/>
                <w:kern w:val="0"/>
                <w:sz w:val="24"/>
                <w:lang w:bidi="ar"/>
                <w14:textFill>
                  <w14:solidFill>
                    <w14:schemeClr w14:val="tx1"/>
                  </w14:solidFill>
                </w14:textFill>
              </w:rPr>
              <w:t>提供厂家针对本项目的售后服务承诺书并加盖厂家公章。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2U可编程电源管理器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功能特点：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1、提供至少1路NET网络控制接口，PWR800通过NET与可编程控制主机通讯；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2、提供至少1路RS-232接口，可实现通过独立PC机控制，可同时对多台PWR800实现通信控制；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3、可由多媒体控制系统的DC24V或AC 100-240V两种供电模式；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4、8路独立节点控制接口，每路都有常开，常闭两种接口选择；并可通过中央控制主机集中或电脑PC直接控制；（提供接口图片佐证，</w:t>
            </w:r>
            <w:r>
              <w:rPr>
                <w:rFonts w:hint="eastAsia" w:ascii="宋体" w:hAnsi="宋体"/>
                <w:color w:val="000000"/>
                <w:kern w:val="0"/>
                <w:sz w:val="24"/>
              </w:rPr>
              <w:t>并加盖投标人公章</w:t>
            </w:r>
            <w:r>
              <w:rPr>
                <w:rFonts w:hint="eastAsia" w:ascii="宋体" w:hAnsi="宋体" w:cs="宋体"/>
                <w:color w:val="000000"/>
                <w:kern w:val="0"/>
                <w:sz w:val="24"/>
                <w:lang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5、指示全面，支持POWER电源指示，ID网络连接指示，接收数据指示；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6、ID CODE 可调节网络ID，实现与可编程控制主机NET网络通讯；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7、内置光电隔离模块，可保障负载和主机安全可靠；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8、能通过机身的轻触按键自由控制。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9、具有至少1路网络接口，支持通过网络实现远程控制。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无线控制平板</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无线触摸平板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网络连接WiFi版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连接方式：蓝牙功能；WiFi功能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端口USB接口Type-C</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音频接口USB Type-C</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屏幕比例：16:9.6</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功能：多点触控；指南针；霍尔传感器；光线感应；分屏功能</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无线路由器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 xml:space="preserve">增强版双千兆路由器 ≥1200M高速双频wifi 无线穿墙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高清视频切换器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1、采用32位Cortex-A98核ARM架构微处理器，处理速度高达1.5GHz;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2、液晶显示面板为2.0寸320*240IPS彩色液晶屏，显示实时操作信息与外部控制实时互动显示。(提供设备接口图佐证,</w:t>
            </w:r>
            <w:r>
              <w:rPr>
                <w:rFonts w:hint="eastAsia" w:ascii="宋体" w:hAnsi="宋体"/>
                <w:color w:val="000000"/>
                <w:kern w:val="0"/>
                <w:sz w:val="24"/>
              </w:rPr>
              <w:t>并加盖投标人公章</w:t>
            </w:r>
            <w:r>
              <w:rPr>
                <w:rFonts w:hint="eastAsia" w:ascii="宋体" w:hAnsi="宋体" w:cs="宋体"/>
                <w:color w:val="000000"/>
                <w:kern w:val="0"/>
                <w:sz w:val="24"/>
                <w:lang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3、≥8路HDMI输入，≥8路HDMI输出，支持HDCP1.3协议并向下支持。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4、多控制方式支持，按钮、红外线遥控器、串口接口。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5、EDID广播支持，设备连接成功后会将输出1接口的EDID广播到所有输入接口。使用计算机连接矩阵时矩阵可识别显示器的参数，从而实现更高清视频传输。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6、固件更新可实现RS-232更新，无需将设备返厂。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7、启动界面可自由修改。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8、输入口带18dB自动增益，1-30米（1080P）无压力传输，无需调节；输出口带6dB预加强功能，能够得到更长的输出传输距离。</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电源时序器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1、通道数量：8路万用插座继电器受控与2路万用插座直通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2、单路功率/总功率/输出电流：2000W/6000W/30A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3、2寸彩屏显示电压，日期，时间，通道状态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4、级联叠机ID:0-255，级联状态自动检测并设置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5、定时开关机功能，内置时钟芯片，可根据日期时间设定，无需人工操作；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6、可实现远程集中控制，每台设备自带设备编码ID检测和设置；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7、10组设备开关场景数据保存/调用，场景管理应用简单便捷；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75寸触摸一体机</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Style w:val="28"/>
                <w:rFonts w:hint="default" w:ascii="宋体" w:hAnsi="宋体" w:cs="宋体"/>
                <w:sz w:val="24"/>
                <w:szCs w:val="24"/>
                <w:highlight w:val="yellow"/>
                <w:lang w:bidi="ar"/>
              </w:rPr>
            </w:pPr>
            <w:r>
              <w:rPr>
                <w:rStyle w:val="28"/>
                <w:rFonts w:hint="default" w:ascii="宋体" w:hAnsi="宋体" w:eastAsia="宋体" w:cs="宋体"/>
                <w:sz w:val="24"/>
                <w:szCs w:val="24"/>
                <w:lang w:bidi="ar"/>
              </w:rPr>
              <w:t>整机外观要求：</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1.整机外壳采用超窄边框金属材质, 拉丝工艺设计, 抗撞抗划抗腐蚀。</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2.表面无尖锐边缘或凸起,保证安全使用。</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3.采用4mm厚度钢化防眩玻璃覆盖屏体，整机更加轻薄。</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4.整机具备抗强光干扰性能，在100K LUX照度的光照下保证正常触控、书写。</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5.屏幕具备自动调光功能, 可设置根据环境光自动调整亮度。</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6.采用高精细红外触摸技术，无需额外安装驱动程序。</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7.前面板具备超宽笔收纳空间设计,可随意放置书写笔等物品</w:t>
            </w:r>
            <w:r>
              <w:rPr>
                <w:rStyle w:val="28"/>
                <w:rFonts w:hint="default" w:ascii="宋体" w:hAnsi="宋体" w:cs="宋体"/>
                <w:sz w:val="24"/>
                <w:szCs w:val="24"/>
                <w:lang w:bidi="ar"/>
              </w:rPr>
              <w:t>;</w:t>
            </w:r>
            <w:r>
              <w:rPr>
                <w:rStyle w:val="28"/>
                <w:rFonts w:hint="default" w:ascii="宋体" w:hAnsi="宋体" w:eastAsia="宋体" w:cs="宋体"/>
                <w:sz w:val="24"/>
                <w:szCs w:val="24"/>
                <w:lang w:bidi="ar"/>
              </w:rPr>
              <w:t>信号预览及切换：极致信道切换速度, 信号源切换时间≤1s, 支持通过触控方式</w:t>
            </w:r>
            <w:r>
              <w:rPr>
                <w:rStyle w:val="28"/>
                <w:rFonts w:hint="default" w:ascii="宋体" w:hAnsi="宋体" w:cs="宋体"/>
                <w:sz w:val="24"/>
                <w:szCs w:val="24"/>
                <w:lang w:bidi="ar"/>
              </w:rPr>
              <w:t>;</w:t>
            </w:r>
          </w:p>
          <w:p>
            <w:pPr>
              <w:widowControl/>
              <w:jc w:val="left"/>
              <w:textAlignment w:val="top"/>
              <w:rPr>
                <w:rStyle w:val="28"/>
                <w:rFonts w:hint="default" w:ascii="宋体" w:hAnsi="宋体" w:eastAsia="宋体" w:cs="宋体"/>
                <w:sz w:val="24"/>
                <w:szCs w:val="24"/>
                <w:lang w:bidi="ar"/>
              </w:rPr>
            </w:pPr>
            <w:r>
              <w:rPr>
                <w:rStyle w:val="28"/>
                <w:rFonts w:hint="default" w:ascii="宋体" w:hAnsi="宋体" w:cs="宋体"/>
                <w:sz w:val="24"/>
                <w:szCs w:val="24"/>
                <w:lang w:bidi="ar"/>
              </w:rPr>
              <w:t>#8</w:t>
            </w:r>
            <w:r>
              <w:rPr>
                <w:rStyle w:val="28"/>
                <w:rFonts w:hint="default" w:ascii="宋体" w:hAnsi="宋体" w:eastAsia="宋体" w:cs="宋体"/>
                <w:sz w:val="24"/>
                <w:szCs w:val="24"/>
                <w:lang w:bidi="ar"/>
              </w:rPr>
              <w:t>整机前置面板接口不少于3个，提供至少1路HDMI高清输入接口(标准HDMI接口，不接受转接方式)，满足高清信号源输入需求。提供检查报告并加盖厂家公章</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9</w:t>
            </w:r>
            <w:r>
              <w:rPr>
                <w:rStyle w:val="28"/>
                <w:rFonts w:hint="default" w:ascii="宋体" w:hAnsi="宋体" w:eastAsia="宋体" w:cs="宋体"/>
                <w:sz w:val="24"/>
                <w:szCs w:val="24"/>
                <w:lang w:bidi="ar"/>
              </w:rPr>
              <w:t>.整机具有15W隐藏式音响，不少于2支,支持立体声。</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10</w:t>
            </w:r>
            <w:r>
              <w:rPr>
                <w:rStyle w:val="28"/>
                <w:rFonts w:hint="default" w:ascii="宋体" w:hAnsi="宋体" w:eastAsia="宋体" w:cs="宋体"/>
                <w:sz w:val="24"/>
                <w:szCs w:val="24"/>
                <w:lang w:bidi="ar"/>
              </w:rPr>
              <w:t>.整机前置接口具备与实际功能一致、表述清晰的中文标识</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w:t>
            </w:r>
            <w:r>
              <w:rPr>
                <w:rStyle w:val="28"/>
                <w:rFonts w:hint="default" w:ascii="宋体" w:hAnsi="宋体" w:cs="宋体"/>
                <w:sz w:val="24"/>
                <w:szCs w:val="24"/>
                <w:lang w:bidi="ar"/>
              </w:rPr>
              <w:t>1</w:t>
            </w:r>
            <w:r>
              <w:rPr>
                <w:rStyle w:val="28"/>
                <w:rFonts w:hint="default" w:ascii="宋体" w:hAnsi="宋体" w:eastAsia="宋体" w:cs="宋体"/>
                <w:sz w:val="24"/>
                <w:szCs w:val="24"/>
                <w:lang w:bidi="ar"/>
              </w:rPr>
              <w:t>.整机采用Windows和Android双系统设计。</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12.快速切换信号源至全屏显示。</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13.触摸框采用前维护结构,实现正面免工具拆装维护。</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14.触摸屏支持手指、书写笔及其他非透明物体 20 点触控。</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w:t>
            </w:r>
            <w:r>
              <w:rPr>
                <w:rStyle w:val="28"/>
                <w:rFonts w:hint="default" w:ascii="宋体" w:hAnsi="宋体" w:cs="宋体"/>
                <w:sz w:val="24"/>
                <w:szCs w:val="24"/>
                <w:lang w:bidi="ar"/>
              </w:rPr>
              <w:t>5</w:t>
            </w:r>
            <w:r>
              <w:rPr>
                <w:rStyle w:val="28"/>
                <w:rFonts w:hint="default" w:ascii="宋体" w:hAnsi="宋体" w:eastAsia="宋体" w:cs="宋体"/>
                <w:sz w:val="24"/>
                <w:szCs w:val="24"/>
                <w:lang w:bidi="ar"/>
              </w:rPr>
              <w:t>.整机内嵌针脚数为80Pin(双面),支持4K60HZ。符合 Intel®标准规范的插拔式电脑,支持Windows平台.</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w:t>
            </w:r>
            <w:r>
              <w:rPr>
                <w:rStyle w:val="28"/>
                <w:rFonts w:hint="default" w:ascii="宋体" w:hAnsi="宋体" w:cs="宋体"/>
                <w:sz w:val="24"/>
                <w:szCs w:val="24"/>
                <w:lang w:bidi="ar"/>
              </w:rPr>
              <w:t>6.</w:t>
            </w:r>
            <w:r>
              <w:rPr>
                <w:rStyle w:val="28"/>
                <w:rFonts w:hint="default" w:ascii="宋体" w:hAnsi="宋体" w:eastAsia="宋体" w:cs="宋体"/>
                <w:sz w:val="24"/>
                <w:szCs w:val="24"/>
                <w:lang w:bidi="ar"/>
              </w:rPr>
              <w:t>整机具备抗物理蓝光护眼功能, 有效净化有害蓝光，屏幕具备自动调光功能, 可设置根据环境光自动调整亮度。</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w:t>
            </w:r>
            <w:r>
              <w:rPr>
                <w:rStyle w:val="28"/>
                <w:rFonts w:hint="default" w:ascii="宋体" w:hAnsi="宋体" w:cs="宋体"/>
                <w:sz w:val="24"/>
                <w:szCs w:val="24"/>
                <w:lang w:bidi="ar"/>
              </w:rPr>
              <w:t>7.</w:t>
            </w:r>
            <w:r>
              <w:rPr>
                <w:rStyle w:val="28"/>
                <w:rFonts w:hint="default" w:ascii="宋体" w:hAnsi="宋体" w:eastAsia="宋体" w:cs="宋体"/>
                <w:sz w:val="24"/>
                <w:szCs w:val="24"/>
                <w:lang w:bidi="ar"/>
              </w:rPr>
              <w:t>支持 CEC 自动开机/ 关机, 允许外接设备开启交互平板电源或交互平板关闭其他外接设备</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硬件参数要求：</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1.屏体规格</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1）采用LED背光,液晶A规屏; 显示尺寸：75"</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 xml:space="preserve">2）物理分辨率不低于3840*2160; </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3）显示比例16:9;</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4）裸屏中心亮度(含表面玻璃) ≥450 cd/m2</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5）屏体对比度：5000:1</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6）色彩总数：8bit-1.07billion colors</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7）响应时间：≤8.5ms</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8）色域: 90%NTSC宽色域</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2.表面钢化玻璃钢化玻璃/防眩光玻璃可见光透射比不低于 87.9%以上，表面硬度不低于 8H,雾度范围 4%-8%；钢化玻璃可承受 1.04kg 钢球在 1m 高度自由坠落, 保证交互平版使用安全。</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3.触控性能</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1）触摸框采用前维护结构,实现正面免工具拆装维护;</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2）硬件支持20点同时触控, 触摸分辨率:≥32768*32768；</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3）具备书写保障措施:书写区域被手、书本遮挡以及某一条红外框失灵时,可正常书写、操作，不影响使用进程顺利进行；</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4）红外框感应高度小于2mm；</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5）触摸精度：90%以上的触摸区域为 ±1mm；</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6）扫描速度:首点 8ms，连续点4ms，触摸有效识别直径 ±1mm。</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4.硬件接口:</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1）后置输入接口：</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USB 3.0(Android)*1；USB 2.0(public)*2；HDMI IN  *2；VGA IN  *1；AUDIO IN *1；RJ45 *1 ；RS232  *1 ；MIC IN  *1 ；OPS接口；AC IN  *1 ；</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2）后置输出接口：</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HDMI OUT *1 ；USB TOUCH *1 ；Earphone *1 ；SPDIF *1；</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3）前置接口：</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USB 2.0 (public)*2；HDMI IN*1（前置HDMI 1.4）；USB touch*1； 提供检测报告</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w:t>
            </w:r>
            <w:r>
              <w:rPr>
                <w:rStyle w:val="28"/>
                <w:rFonts w:hint="default" w:ascii="宋体" w:hAnsi="宋体" w:eastAsia="宋体" w:cs="宋体"/>
                <w:sz w:val="24"/>
                <w:szCs w:val="24"/>
                <w:lang w:bidi="ar"/>
              </w:rPr>
              <w:t>5.内置 8 路矩阵式麦克风阵列。拾音范围 10 米，具备全双工，回声消除，噪声抑制，波束成形功能；内置高清摄像头位于整机正面上方居中, 输出分辨率3840x2160@30 Max</w:t>
            </w:r>
            <w:r>
              <w:rPr>
                <w:rStyle w:val="28"/>
                <w:rFonts w:hint="default" w:ascii="宋体" w:hAnsi="宋体" w:cs="宋体"/>
                <w:sz w:val="24"/>
                <w:szCs w:val="24"/>
                <w:lang w:bidi="ar"/>
              </w:rPr>
              <w:t>;</w:t>
            </w:r>
            <w:r>
              <w:rPr>
                <w:rStyle w:val="28"/>
                <w:rFonts w:hint="default" w:ascii="宋体" w:hAnsi="宋体" w:eastAsia="宋体" w:cs="宋体"/>
                <w:sz w:val="24"/>
                <w:szCs w:val="24"/>
                <w:lang w:bidi="ar"/>
              </w:rPr>
              <w:t xml:space="preserve"> 内置4K高清摄像头, 视场角：D-FOV：110±3° ，H-FOV：102±3° ，V-FOV：70±3°，支持电子云台</w:t>
            </w:r>
            <w:r>
              <w:rPr>
                <w:rStyle w:val="28"/>
                <w:rFonts w:hint="default" w:ascii="宋体" w:hAnsi="宋体" w:cs="宋体"/>
                <w:sz w:val="24"/>
                <w:szCs w:val="24"/>
                <w:lang w:bidi="ar"/>
              </w:rPr>
              <w:t>;</w:t>
            </w:r>
            <w:r>
              <w:rPr>
                <w:rStyle w:val="28"/>
                <w:rFonts w:hint="default" w:ascii="宋体" w:hAnsi="宋体" w:eastAsia="宋体" w:cs="宋体"/>
                <w:sz w:val="24"/>
                <w:szCs w:val="24"/>
                <w:lang w:bidi="ar"/>
              </w:rPr>
              <w:t>摄像头角度可通过遥控器进行调节，满足各类视频会议需求</w:t>
            </w:r>
            <w:r>
              <w:rPr>
                <w:rStyle w:val="28"/>
                <w:rFonts w:hint="default" w:ascii="宋体" w:hAnsi="宋体" w:cs="宋体"/>
                <w:sz w:val="24"/>
                <w:szCs w:val="24"/>
                <w:lang w:bidi="ar"/>
              </w:rPr>
              <w:t>;</w:t>
            </w:r>
            <w:r>
              <w:rPr>
                <w:rStyle w:val="28"/>
                <w:rFonts w:hint="default" w:ascii="宋体" w:hAnsi="宋体" w:eastAsia="宋体" w:cs="宋体"/>
                <w:sz w:val="24"/>
                <w:szCs w:val="24"/>
                <w:lang w:bidi="ar"/>
              </w:rPr>
              <w:t>支持通过遥控器：一键开关机、支持一键息屏、一键开启或关闭麦克风、一键开启或关闭扬声器</w:t>
            </w:r>
            <w:r>
              <w:rPr>
                <w:rStyle w:val="28"/>
                <w:rFonts w:hint="default" w:ascii="宋体" w:hAnsi="宋体" w:cs="宋体"/>
                <w:sz w:val="24"/>
                <w:szCs w:val="24"/>
                <w:lang w:bidi="ar"/>
              </w:rPr>
              <w:t>;</w:t>
            </w:r>
            <w:r>
              <w:rPr>
                <w:rStyle w:val="28"/>
                <w:rFonts w:hint="default" w:ascii="宋体" w:hAnsi="宋体" w:eastAsia="宋体" w:cs="宋体"/>
                <w:sz w:val="24"/>
                <w:szCs w:val="24"/>
                <w:lang w:bidi="ar"/>
              </w:rPr>
              <w:t>提供证明文件并加盖厂家公章</w:t>
            </w:r>
            <w:r>
              <w:rPr>
                <w:rStyle w:val="28"/>
                <w:rFonts w:hint="default" w:ascii="宋体" w:hAnsi="宋体" w:cs="宋体"/>
                <w:sz w:val="24"/>
                <w:szCs w:val="24"/>
                <w:lang w:bidi="ar"/>
              </w:rPr>
              <w:t>;</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6.</w:t>
            </w:r>
            <w:r>
              <w:rPr>
                <w:rStyle w:val="28"/>
                <w:rFonts w:hint="default" w:ascii="宋体" w:hAnsi="宋体" w:eastAsia="宋体" w:cs="宋体"/>
                <w:sz w:val="24"/>
                <w:szCs w:val="24"/>
                <w:lang w:bidi="ar"/>
              </w:rPr>
              <w:t>支持电子云台</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7</w:t>
            </w:r>
            <w:r>
              <w:rPr>
                <w:rStyle w:val="28"/>
                <w:rFonts w:hint="default" w:ascii="宋体" w:hAnsi="宋体" w:eastAsia="宋体" w:cs="宋体"/>
                <w:sz w:val="24"/>
                <w:szCs w:val="24"/>
                <w:lang w:bidi="ar"/>
              </w:rPr>
              <w:t>.安卓主板规格</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a．cpu:4核 Cortex  A73*2+A53*2</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b．GPU: MaliG51*4</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c．内存：4G RAM/16GBROM</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8</w:t>
            </w:r>
            <w:r>
              <w:rPr>
                <w:rStyle w:val="28"/>
                <w:rFonts w:hint="default" w:ascii="宋体" w:hAnsi="宋体" w:eastAsia="宋体" w:cs="宋体"/>
                <w:sz w:val="24"/>
                <w:szCs w:val="24"/>
                <w:lang w:bidi="ar"/>
              </w:rPr>
              <w:t>.遥控设备提供主页、返回（按一次返回上一层界面；按两次退出当前程序）、打开任务管理侧边栏、音量加、音量减、锁屏等功能按键且有明显标识</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9</w:t>
            </w:r>
            <w:r>
              <w:rPr>
                <w:rStyle w:val="28"/>
                <w:rFonts w:hint="default" w:ascii="宋体" w:hAnsi="宋体" w:eastAsia="宋体" w:cs="宋体"/>
                <w:sz w:val="24"/>
                <w:szCs w:val="24"/>
                <w:lang w:bidi="ar"/>
              </w:rPr>
              <w:t>.可通过遥控设备快速切换信号源，如HDMI1、HDMI2、VGA、内置OPS电脑</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w:t>
            </w:r>
            <w:r>
              <w:rPr>
                <w:rStyle w:val="28"/>
                <w:rFonts w:hint="default" w:ascii="宋体" w:hAnsi="宋体" w:cs="宋体"/>
                <w:sz w:val="24"/>
                <w:szCs w:val="24"/>
                <w:lang w:bidi="ar"/>
              </w:rPr>
              <w:t>0</w:t>
            </w:r>
            <w:r>
              <w:rPr>
                <w:rStyle w:val="28"/>
                <w:rFonts w:hint="default" w:ascii="宋体" w:hAnsi="宋体" w:eastAsia="宋体" w:cs="宋体"/>
                <w:sz w:val="24"/>
                <w:szCs w:val="24"/>
                <w:lang w:bidi="ar"/>
              </w:rPr>
              <w:t>.整机显示信号切换到PC模式下，检测结果能满足最大能分辨力为128灰阶，256灰阶为渐变状态；</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软件功能要求：</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 xml:space="preserve">1.内建Android 8.0系統, 直观式操作主页, 整体界面简约明了，风格协调统一，所有图标与实际功能一致，表述清晰，并带有文字标识，便于会议用户理解，快速上手操作；用户可在主页一键操作OPS切换, 信号源, 书写板等主要功能。 </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2.</w:t>
            </w:r>
            <w:r>
              <w:rPr>
                <w:rStyle w:val="28"/>
                <w:rFonts w:hint="default" w:ascii="宋体" w:hAnsi="宋体" w:eastAsia="宋体" w:cs="宋体"/>
                <w:sz w:val="24"/>
                <w:szCs w:val="24"/>
                <w:lang w:bidi="ar"/>
              </w:rPr>
              <w:t>安卓界面下采用4K分辨率图标(4KUI)设计, 画质更清晰, 降低长时间使用所产生的眼睛疲劳感</w:t>
            </w:r>
            <w:r>
              <w:rPr>
                <w:rStyle w:val="28"/>
                <w:rFonts w:hint="default" w:ascii="宋体" w:hAnsi="宋体" w:cs="宋体"/>
                <w:sz w:val="24"/>
                <w:szCs w:val="24"/>
                <w:lang w:bidi="ar"/>
              </w:rPr>
              <w:t>;</w:t>
            </w:r>
            <w:r>
              <w:rPr>
                <w:rStyle w:val="28"/>
                <w:rFonts w:hint="default" w:ascii="宋体" w:hAnsi="宋体" w:eastAsia="宋体" w:cs="宋体"/>
                <w:sz w:val="24"/>
                <w:szCs w:val="24"/>
                <w:lang w:bidi="ar"/>
              </w:rPr>
              <w:t>提供检测报告</w:t>
            </w:r>
            <w:r>
              <w:rPr>
                <w:rFonts w:hint="eastAsia" w:ascii="宋体" w:hAnsi="宋体"/>
                <w:color w:val="000000"/>
                <w:kern w:val="0"/>
                <w:sz w:val="24"/>
              </w:rPr>
              <w:t>并加盖投标人公章</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3.可设置开机讯号源, 设置后开机即可主动切入该讯号源。</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4.具备定时自动开关机功能，时间可自行设定。</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5.主页可任意添加设置常用工具栏, 最多可添加至3个常用工具。</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6</w:t>
            </w:r>
            <w:r>
              <w:rPr>
                <w:rStyle w:val="28"/>
                <w:rFonts w:hint="default" w:ascii="宋体" w:hAnsi="宋体" w:eastAsia="宋体" w:cs="宋体"/>
                <w:sz w:val="24"/>
                <w:szCs w:val="24"/>
                <w:lang w:bidi="ar"/>
              </w:rPr>
              <w:t>.支持将平板与房间名称进行绑定，平板界面中显示绑定的房间名称，支持会议室名称自定义、解绑等管理操作</w:t>
            </w:r>
            <w:r>
              <w:rPr>
                <w:rStyle w:val="28"/>
                <w:rFonts w:hint="default" w:ascii="宋体" w:hAnsi="宋体" w:cs="宋体"/>
                <w:sz w:val="24"/>
                <w:szCs w:val="24"/>
                <w:lang w:bidi="ar"/>
              </w:rPr>
              <w:t>;</w:t>
            </w:r>
            <w:r>
              <w:rPr>
                <w:rStyle w:val="28"/>
                <w:rFonts w:hint="default" w:ascii="宋体" w:hAnsi="宋体" w:eastAsia="宋体" w:cs="宋体"/>
                <w:sz w:val="24"/>
                <w:szCs w:val="24"/>
                <w:lang w:bidi="ar"/>
              </w:rPr>
              <w:t>支持微信小程序查看平板所处房间的使用状态</w:t>
            </w:r>
            <w:r>
              <w:rPr>
                <w:rStyle w:val="28"/>
                <w:rFonts w:hint="default" w:ascii="宋体" w:hAnsi="宋体" w:cs="宋体"/>
                <w:sz w:val="24"/>
                <w:szCs w:val="24"/>
                <w:lang w:bidi="ar"/>
              </w:rPr>
              <w:t>;</w:t>
            </w:r>
            <w:r>
              <w:rPr>
                <w:rStyle w:val="28"/>
                <w:rFonts w:hint="default" w:ascii="宋体" w:hAnsi="宋体" w:eastAsia="宋体" w:cs="宋体"/>
                <w:sz w:val="24"/>
                <w:szCs w:val="24"/>
                <w:lang w:bidi="ar"/>
              </w:rPr>
              <w:t>提供检测报告</w:t>
            </w:r>
            <w:r>
              <w:rPr>
                <w:rFonts w:hint="eastAsia" w:ascii="宋体" w:hAnsi="宋体"/>
                <w:color w:val="000000"/>
                <w:kern w:val="0"/>
                <w:sz w:val="24"/>
              </w:rPr>
              <w:t>并加盖投标人公章</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7</w:t>
            </w:r>
            <w:r>
              <w:rPr>
                <w:rStyle w:val="28"/>
                <w:rFonts w:hint="default" w:ascii="宋体" w:hAnsi="宋体" w:eastAsia="宋体" w:cs="宋体"/>
                <w:sz w:val="24"/>
                <w:szCs w:val="24"/>
                <w:lang w:bidi="ar"/>
              </w:rPr>
              <w:t>.支持将平板绑定到房间，同时通过微信小程序，对房间进行线上预约，可将日程同步至平板进行显示</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8</w:t>
            </w:r>
            <w:r>
              <w:rPr>
                <w:rStyle w:val="28"/>
                <w:rFonts w:hint="default" w:ascii="宋体" w:hAnsi="宋体" w:eastAsia="宋体" w:cs="宋体"/>
                <w:sz w:val="24"/>
                <w:szCs w:val="24"/>
                <w:lang w:bidi="ar"/>
              </w:rPr>
              <w:t>.支持扫描屏幕显示二维码，快速预约预定日程及会议，支持将日程推送触控平板 。支持预约会议室时选择腾讯会议，同时将腾讯会议日程推送至商务平板，点击屏幕上日程进行快速进入腾讯会议</w:t>
            </w:r>
            <w:r>
              <w:rPr>
                <w:rStyle w:val="28"/>
                <w:rFonts w:hint="default" w:ascii="宋体" w:hAnsi="宋体" w:cs="宋体"/>
                <w:sz w:val="24"/>
                <w:szCs w:val="24"/>
                <w:lang w:bidi="ar"/>
              </w:rPr>
              <w:t>;</w:t>
            </w:r>
            <w:r>
              <w:rPr>
                <w:rStyle w:val="28"/>
                <w:rFonts w:hint="default" w:ascii="宋体" w:hAnsi="宋体" w:eastAsia="宋体" w:cs="宋体"/>
                <w:sz w:val="24"/>
                <w:szCs w:val="24"/>
                <w:lang w:bidi="ar"/>
              </w:rPr>
              <w:t>提供检测报告</w:t>
            </w:r>
            <w:r>
              <w:rPr>
                <w:rFonts w:hint="eastAsia" w:ascii="宋体" w:hAnsi="宋体"/>
                <w:color w:val="000000"/>
                <w:kern w:val="0"/>
                <w:sz w:val="24"/>
              </w:rPr>
              <w:t>并加盖投标人公章</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9</w:t>
            </w:r>
            <w:r>
              <w:rPr>
                <w:rStyle w:val="28"/>
                <w:rFonts w:hint="default" w:ascii="宋体" w:hAnsi="宋体" w:eastAsia="宋体" w:cs="宋体"/>
                <w:sz w:val="24"/>
                <w:szCs w:val="24"/>
                <w:lang w:bidi="ar"/>
              </w:rPr>
              <w:t>.平板首页中，支持自定义添加常用应用</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10</w:t>
            </w:r>
            <w:r>
              <w:rPr>
                <w:rStyle w:val="28"/>
                <w:rFonts w:hint="default" w:ascii="宋体" w:hAnsi="宋体" w:eastAsia="宋体" w:cs="宋体"/>
                <w:sz w:val="24"/>
                <w:szCs w:val="24"/>
                <w:lang w:bidi="ar"/>
              </w:rPr>
              <w:t>.平板首页中，具备日程显示区，支持显示全天会议日程，实时更新会议日程状态</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w:t>
            </w:r>
            <w:r>
              <w:rPr>
                <w:rStyle w:val="28"/>
                <w:rFonts w:hint="default" w:ascii="宋体" w:hAnsi="宋体" w:cs="宋体"/>
                <w:sz w:val="24"/>
                <w:szCs w:val="24"/>
                <w:lang w:bidi="ar"/>
              </w:rPr>
              <w:t>1</w:t>
            </w:r>
            <w:r>
              <w:rPr>
                <w:rStyle w:val="28"/>
                <w:rFonts w:hint="default" w:ascii="宋体" w:hAnsi="宋体" w:eastAsia="宋体" w:cs="宋体"/>
                <w:sz w:val="24"/>
                <w:szCs w:val="24"/>
                <w:lang w:bidi="ar"/>
              </w:rPr>
              <w:t>.负一屏支持日历功能，可通过日历查询每天会议日程</w:t>
            </w:r>
            <w:r>
              <w:rPr>
                <w:rStyle w:val="28"/>
                <w:rFonts w:hint="default" w:ascii="宋体" w:hAnsi="宋体" w:cs="宋体"/>
                <w:sz w:val="24"/>
                <w:szCs w:val="24"/>
                <w:lang w:bidi="ar"/>
              </w:rPr>
              <w:t>;</w:t>
            </w:r>
            <w:r>
              <w:rPr>
                <w:rStyle w:val="28"/>
                <w:rFonts w:hint="default" w:ascii="宋体" w:hAnsi="宋体" w:eastAsia="宋体" w:cs="宋体"/>
                <w:sz w:val="24"/>
                <w:szCs w:val="24"/>
                <w:lang w:bidi="ar"/>
              </w:rPr>
              <w:t>切换至正一屏后，显示投屏引导，通过引导快速发起无线投屏</w:t>
            </w:r>
            <w:r>
              <w:rPr>
                <w:rStyle w:val="28"/>
                <w:rFonts w:hint="default" w:ascii="宋体" w:hAnsi="宋体" w:cs="宋体"/>
                <w:sz w:val="24"/>
                <w:szCs w:val="24"/>
                <w:lang w:bidi="ar"/>
              </w:rPr>
              <w:t>;</w:t>
            </w:r>
            <w:r>
              <w:rPr>
                <w:rStyle w:val="28"/>
                <w:rFonts w:hint="default" w:ascii="宋体" w:hAnsi="宋体" w:eastAsia="宋体" w:cs="宋体"/>
                <w:sz w:val="24"/>
                <w:szCs w:val="24"/>
                <w:lang w:bidi="ar"/>
              </w:rPr>
              <w:t>支持对平板进行远程重启、设备运转状态监测，并支持对异常设备进行告警提醒</w:t>
            </w:r>
            <w:r>
              <w:rPr>
                <w:rStyle w:val="28"/>
                <w:rFonts w:hint="default" w:ascii="宋体" w:hAnsi="宋体" w:cs="宋体"/>
                <w:sz w:val="24"/>
                <w:szCs w:val="24"/>
                <w:lang w:bidi="ar"/>
              </w:rPr>
              <w:t>;</w:t>
            </w:r>
            <w:r>
              <w:rPr>
                <w:rStyle w:val="28"/>
                <w:rFonts w:hint="default" w:ascii="宋体" w:hAnsi="宋体" w:eastAsia="宋体" w:cs="宋体"/>
                <w:sz w:val="24"/>
                <w:szCs w:val="24"/>
                <w:lang w:bidi="ar"/>
              </w:rPr>
              <w:t>支持对平板进行远程的固件、驱动在线升级</w:t>
            </w:r>
            <w:r>
              <w:rPr>
                <w:rStyle w:val="28"/>
                <w:rFonts w:hint="default" w:ascii="宋体" w:hAnsi="宋体" w:cs="宋体"/>
                <w:sz w:val="24"/>
                <w:szCs w:val="24"/>
                <w:lang w:bidi="ar"/>
              </w:rPr>
              <w:t>;</w:t>
            </w:r>
            <w:r>
              <w:rPr>
                <w:rStyle w:val="28"/>
                <w:rFonts w:hint="default" w:ascii="宋体" w:hAnsi="宋体" w:eastAsia="宋体" w:cs="宋体"/>
                <w:sz w:val="24"/>
                <w:szCs w:val="24"/>
                <w:lang w:bidi="ar"/>
              </w:rPr>
              <w:t xml:space="preserve"> 内建正版无广告OfficeSuite软件, 可直接开启/编辑常用Office文档, 如Word, Excel, PPT, PDF格式文档</w:t>
            </w:r>
            <w:r>
              <w:rPr>
                <w:rStyle w:val="28"/>
                <w:rFonts w:hint="default" w:ascii="宋体" w:hAnsi="宋体" w:cs="宋体"/>
                <w:sz w:val="24"/>
                <w:szCs w:val="24"/>
                <w:lang w:bidi="ar"/>
              </w:rPr>
              <w:t>;</w:t>
            </w:r>
            <w:r>
              <w:rPr>
                <w:rStyle w:val="28"/>
                <w:rFonts w:hint="default" w:ascii="宋体" w:hAnsi="宋体" w:eastAsia="宋体" w:cs="宋体"/>
                <w:sz w:val="24"/>
                <w:szCs w:val="24"/>
                <w:lang w:bidi="ar"/>
              </w:rPr>
              <w:t>提供检测报告并加盖厂家公章</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w:t>
            </w:r>
            <w:r>
              <w:rPr>
                <w:rStyle w:val="28"/>
                <w:rFonts w:hint="default" w:ascii="宋体" w:hAnsi="宋体" w:cs="宋体"/>
                <w:sz w:val="24"/>
                <w:szCs w:val="24"/>
                <w:lang w:bidi="ar"/>
              </w:rPr>
              <w:t>2</w:t>
            </w:r>
            <w:r>
              <w:rPr>
                <w:rStyle w:val="28"/>
                <w:rFonts w:hint="default" w:ascii="宋体" w:hAnsi="宋体" w:eastAsia="宋体" w:cs="宋体"/>
                <w:sz w:val="24"/>
                <w:szCs w:val="24"/>
                <w:lang w:bidi="ar"/>
              </w:rPr>
              <w:t>.支持对平板使用数据进行统计分析，数据类型包括：设备在线数量、会议总数、会议类型、设备使用时长</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1</w:t>
            </w:r>
            <w:r>
              <w:rPr>
                <w:rStyle w:val="28"/>
                <w:rFonts w:hint="default" w:ascii="宋体" w:hAnsi="宋体" w:cs="宋体"/>
                <w:sz w:val="24"/>
                <w:szCs w:val="24"/>
                <w:lang w:bidi="ar"/>
              </w:rPr>
              <w:t>3</w:t>
            </w:r>
            <w:r>
              <w:rPr>
                <w:rStyle w:val="28"/>
                <w:rFonts w:hint="default" w:ascii="宋体" w:hAnsi="宋体" w:eastAsia="宋体" w:cs="宋体"/>
                <w:sz w:val="24"/>
                <w:szCs w:val="24"/>
                <w:lang w:bidi="ar"/>
              </w:rPr>
              <w:t>.</w:t>
            </w:r>
            <w:r>
              <w:rPr>
                <w:rStyle w:val="29"/>
                <w:rFonts w:hint="eastAsia" w:ascii="宋体" w:hAnsi="宋体" w:cs="宋体"/>
                <w:sz w:val="24"/>
                <w:szCs w:val="24"/>
                <w:lang w:bidi="ar"/>
              </w:rPr>
              <w:t xml:space="preserve"> </w:t>
            </w:r>
            <w:r>
              <w:rPr>
                <w:rStyle w:val="28"/>
                <w:rFonts w:hint="default" w:ascii="宋体" w:hAnsi="宋体" w:eastAsia="宋体" w:cs="宋体"/>
                <w:sz w:val="24"/>
                <w:szCs w:val="24"/>
                <w:lang w:bidi="ar"/>
              </w:rPr>
              <w:t>白板软件：</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a)手势擦除功能支持手掌,手背,手指范围,一键清屏等擦除方式</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b)用户可自定义版面颜色与背景样式,支持20页书写，提供缩略图用以预览/切换页面内容，白板支持二分屏功能。</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c)提供绘制流程图所需要的常用图形和表格,图形和表格内可输入文本,多个流程图对象支持组合与吸附功能</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d)支持插入图片，视频，PDF文档等素材进入白板页面内查看编辑;素材可进行</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e)缩放/移动等二次编辑;插入视频及PDF文档时,可截图插入白板页面</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f)内置搜索引擎, 搜索结果可截图插入白板页面</w:t>
            </w:r>
            <w:r>
              <w:rPr>
                <w:rStyle w:val="28"/>
                <w:rFonts w:hint="default" w:ascii="宋体" w:hAnsi="宋体" w:cs="宋体"/>
                <w:sz w:val="24"/>
                <w:szCs w:val="24"/>
                <w:lang w:bidi="ar"/>
              </w:rPr>
              <w:t>;</w:t>
            </w:r>
            <w:r>
              <w:rPr>
                <w:rStyle w:val="28"/>
                <w:rFonts w:hint="default" w:ascii="宋体" w:hAnsi="宋体" w:eastAsia="宋体" w:cs="宋体"/>
                <w:sz w:val="24"/>
                <w:szCs w:val="24"/>
                <w:lang w:bidi="ar"/>
              </w:rPr>
              <w:t>提供检测报告并加盖</w:t>
            </w:r>
            <w:r>
              <w:rPr>
                <w:rFonts w:hint="eastAsia" w:ascii="宋体" w:hAnsi="宋体"/>
                <w:color w:val="000000"/>
                <w:kern w:val="0"/>
                <w:sz w:val="24"/>
              </w:rPr>
              <w:t>并加盖投标人公章；</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g)支持将会议讨论内容保存为白板源文件,白板源文件可进行二次编辑; 同时可将讨论内容存为PDF格式保存于本地</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h)会议记录支持扫码带走,可选当前页面或全部页面进行分享</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14</w:t>
            </w:r>
            <w:r>
              <w:rPr>
                <w:rStyle w:val="28"/>
                <w:rFonts w:hint="default" w:ascii="宋体" w:hAnsi="宋体" w:eastAsia="宋体" w:cs="宋体"/>
                <w:sz w:val="24"/>
                <w:szCs w:val="24"/>
                <w:lang w:bidi="ar"/>
              </w:rPr>
              <w:t>.支持多种设备无线投屏，安卓、iOS等设备透过无线WIFI进行传输。用户可快速将移动设备上的文档、图片、音乐、视频、桌面等内容投屏到交互平板上。</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15</w:t>
            </w:r>
            <w:r>
              <w:rPr>
                <w:rStyle w:val="28"/>
                <w:rFonts w:hint="default" w:ascii="宋体" w:hAnsi="宋体" w:eastAsia="宋体" w:cs="宋体"/>
                <w:sz w:val="24"/>
                <w:szCs w:val="24"/>
                <w:lang w:bidi="ar"/>
              </w:rPr>
              <w:t>.欢迎词软件：提供多种欢迎词模板, 用户可任意编辑欢迎词，设置背景图片、文本内容及位置，支持插入图片, 音频, 视频等多媒体素材, 编辑完成后可保存为自定义模板文档管理器支持多选本地任意图片进行扫码分享, 或生成PDF格式文档。</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16</w:t>
            </w:r>
            <w:r>
              <w:rPr>
                <w:rStyle w:val="28"/>
                <w:rFonts w:hint="default" w:ascii="宋体" w:hAnsi="宋体" w:eastAsia="宋体" w:cs="宋体"/>
                <w:sz w:val="24"/>
                <w:szCs w:val="24"/>
                <w:lang w:bidi="ar"/>
              </w:rPr>
              <w:t>.支持 录屏, 截屏等应用, 常用工具可于侧边栏一键快捷呼出。</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17</w:t>
            </w:r>
            <w:r>
              <w:rPr>
                <w:rStyle w:val="28"/>
                <w:rFonts w:hint="default" w:ascii="宋体" w:hAnsi="宋体" w:eastAsia="宋体" w:cs="宋体"/>
                <w:sz w:val="24"/>
                <w:szCs w:val="24"/>
                <w:lang w:bidi="ar"/>
              </w:rPr>
              <w:t>.投票软件可设置议题投票, 最多可设置10个选项, 支持单选及多选, 设置完成后以手机扫码进行投票, 投票结果可生成饼状图或条形图, 并支持将投票结果以图片格式插入到白板</w:t>
            </w:r>
            <w:r>
              <w:rPr>
                <w:rStyle w:val="28"/>
                <w:rFonts w:hint="default" w:ascii="宋体" w:hAnsi="宋体" w:cs="宋体"/>
                <w:sz w:val="24"/>
                <w:szCs w:val="24"/>
                <w:lang w:bidi="ar"/>
              </w:rPr>
              <w:t>;</w:t>
            </w:r>
            <w:r>
              <w:rPr>
                <w:rStyle w:val="28"/>
                <w:rFonts w:hint="default" w:ascii="宋体" w:hAnsi="宋体" w:eastAsia="宋体" w:cs="宋体"/>
                <w:sz w:val="24"/>
                <w:szCs w:val="24"/>
                <w:lang w:bidi="ar"/>
              </w:rPr>
              <w:t>提供检测报告</w:t>
            </w:r>
            <w:r>
              <w:rPr>
                <w:rFonts w:hint="eastAsia" w:ascii="宋体" w:hAnsi="宋体"/>
                <w:color w:val="000000"/>
                <w:kern w:val="0"/>
                <w:sz w:val="24"/>
              </w:rPr>
              <w:t>并加盖投标人公章；</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18</w:t>
            </w:r>
            <w:r>
              <w:rPr>
                <w:rStyle w:val="28"/>
                <w:rFonts w:hint="default" w:ascii="宋体" w:hAnsi="宋体" w:eastAsia="宋体" w:cs="宋体"/>
                <w:sz w:val="24"/>
                <w:szCs w:val="24"/>
                <w:lang w:bidi="ar"/>
              </w:rPr>
              <w:t>.签到软件含手机扫码签到及笔迹签到功能, 签到结果可通过三方软件扫码带走。</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19</w:t>
            </w:r>
            <w:r>
              <w:rPr>
                <w:rStyle w:val="28"/>
                <w:rFonts w:hint="default" w:ascii="宋体" w:hAnsi="宋体" w:eastAsia="宋体" w:cs="宋体"/>
                <w:sz w:val="24"/>
                <w:szCs w:val="24"/>
                <w:lang w:bidi="ar"/>
              </w:rPr>
              <w:t>.视频会议：可兼容市面上绝大部分视频会议软件，快速高效做远程视频沟通功能。</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20</w:t>
            </w:r>
            <w:r>
              <w:rPr>
                <w:rStyle w:val="28"/>
                <w:rFonts w:hint="default" w:ascii="宋体" w:hAnsi="宋体" w:eastAsia="宋体" w:cs="宋体"/>
                <w:sz w:val="24"/>
                <w:szCs w:val="24"/>
                <w:lang w:bidi="ar"/>
              </w:rPr>
              <w:t>.支持双侧软快捷键，可以支持关闭，开启，批注，上下移动快捷键（不接受双侧物理快捷键）</w:t>
            </w:r>
            <w:r>
              <w:rPr>
                <w:rStyle w:val="28"/>
                <w:rFonts w:hint="default" w:ascii="宋体" w:hAnsi="宋体" w:cs="宋体"/>
                <w:sz w:val="24"/>
                <w:szCs w:val="24"/>
                <w:lang w:bidi="ar"/>
              </w:rPr>
              <w:t>;</w:t>
            </w:r>
            <w:r>
              <w:rPr>
                <w:rStyle w:val="28"/>
                <w:rFonts w:hint="default" w:ascii="宋体" w:hAnsi="宋体" w:eastAsia="宋体" w:cs="宋体"/>
                <w:sz w:val="24"/>
                <w:szCs w:val="24"/>
                <w:lang w:bidi="ar"/>
              </w:rPr>
              <w:t>提供证明文件</w:t>
            </w:r>
            <w:r>
              <w:rPr>
                <w:rFonts w:hint="eastAsia" w:ascii="宋体" w:hAnsi="宋体"/>
                <w:color w:val="000000"/>
                <w:kern w:val="0"/>
                <w:sz w:val="24"/>
              </w:rPr>
              <w:t>并加盖投标人公章；</w:t>
            </w:r>
          </w:p>
          <w:p>
            <w:pPr>
              <w:widowControl/>
              <w:jc w:val="left"/>
              <w:textAlignment w:val="top"/>
              <w:rPr>
                <w:rStyle w:val="28"/>
                <w:rFonts w:hint="default" w:ascii="宋体" w:hAnsi="宋体" w:eastAsia="宋体" w:cs="宋体"/>
                <w:sz w:val="24"/>
                <w:szCs w:val="24"/>
                <w:lang w:bidi="ar"/>
              </w:rPr>
            </w:pPr>
            <w:r>
              <w:rPr>
                <w:rStyle w:val="28"/>
                <w:rFonts w:hint="default" w:ascii="宋体" w:hAnsi="宋体" w:cs="宋体"/>
                <w:sz w:val="24"/>
                <w:szCs w:val="24"/>
                <w:lang w:bidi="ar"/>
              </w:rPr>
              <w:t>21.</w:t>
            </w:r>
            <w:r>
              <w:rPr>
                <w:rStyle w:val="28"/>
                <w:rFonts w:hint="default" w:ascii="宋体" w:hAnsi="宋体" w:eastAsia="宋体" w:cs="宋体"/>
                <w:sz w:val="24"/>
                <w:szCs w:val="24"/>
                <w:lang w:bidi="ar"/>
              </w:rPr>
              <w:t>双侧工具栏自带批注功能, 会议中可随时于任意界面中对任意程序如桌面、PPT、Word、CAD等静态文档、高清动态视频等进行批注, 无须开启其他软件, 批注结束可保存批注内容。</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2</w:t>
            </w:r>
            <w:r>
              <w:rPr>
                <w:rStyle w:val="28"/>
                <w:rFonts w:hint="default" w:ascii="宋体" w:hAnsi="宋体" w:cs="宋体"/>
                <w:sz w:val="24"/>
                <w:szCs w:val="24"/>
                <w:lang w:bidi="ar"/>
              </w:rPr>
              <w:t>2</w:t>
            </w:r>
            <w:r>
              <w:rPr>
                <w:rStyle w:val="28"/>
                <w:rFonts w:hint="default" w:ascii="宋体" w:hAnsi="宋体" w:eastAsia="宋体" w:cs="宋体"/>
                <w:sz w:val="24"/>
                <w:szCs w:val="24"/>
                <w:lang w:bidi="ar"/>
              </w:rPr>
              <w:t>.可由主页一键进入所有信号源, 快速切换多个信号源, 可通过触控方式切换信号。</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2</w:t>
            </w:r>
            <w:r>
              <w:rPr>
                <w:rStyle w:val="28"/>
                <w:rFonts w:hint="default" w:ascii="宋体" w:hAnsi="宋体" w:cs="宋体"/>
                <w:sz w:val="24"/>
                <w:szCs w:val="24"/>
                <w:lang w:bidi="ar"/>
              </w:rPr>
              <w:t>3</w:t>
            </w:r>
            <w:r>
              <w:rPr>
                <w:rStyle w:val="28"/>
                <w:rFonts w:hint="default" w:ascii="宋体" w:hAnsi="宋体" w:eastAsia="宋体" w:cs="宋体"/>
                <w:sz w:val="24"/>
                <w:szCs w:val="24"/>
                <w:lang w:bidi="ar"/>
              </w:rPr>
              <w:t>.为满足需求的易用性,设备全面兼容Windows 7/8/10及苹果Mac系统。</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24</w:t>
            </w:r>
            <w:r>
              <w:rPr>
                <w:rStyle w:val="28"/>
                <w:rFonts w:hint="default" w:ascii="宋体" w:hAnsi="宋体" w:eastAsia="宋体" w:cs="宋体"/>
                <w:sz w:val="24"/>
                <w:szCs w:val="24"/>
                <w:lang w:bidi="ar"/>
              </w:rPr>
              <w:t>.侧边栏功能包括工具列表, 通知列表与进程管理键</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a)工具列表显示快速启动工具, 并包含设备音量与亮度调节及网络状态开关</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b)通知栏用于显示应用通知, 及时推送软件更新信息</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c）进程管理键可用于随时切换/管理所有进程任务</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25</w:t>
            </w:r>
            <w:r>
              <w:rPr>
                <w:rStyle w:val="28"/>
                <w:rFonts w:hint="default" w:ascii="宋体" w:hAnsi="宋体" w:eastAsia="宋体" w:cs="宋体"/>
                <w:sz w:val="24"/>
                <w:szCs w:val="24"/>
                <w:lang w:bidi="ar"/>
              </w:rPr>
              <w:t>. 视频会议：可兼容市面上绝大部分视频会议软件，快速高效做远程视频沟通功能；</w:t>
            </w:r>
            <w:r>
              <w:rPr>
                <w:rStyle w:val="28"/>
                <w:rFonts w:hint="default" w:ascii="宋体" w:hAnsi="宋体" w:eastAsia="宋体" w:cs="宋体"/>
                <w:sz w:val="24"/>
                <w:szCs w:val="24"/>
                <w:lang w:bidi="ar"/>
              </w:rPr>
              <w:br w:type="textWrapping"/>
            </w:r>
            <w:r>
              <w:rPr>
                <w:rStyle w:val="28"/>
                <w:rFonts w:hint="default" w:ascii="宋体" w:hAnsi="宋体" w:cs="宋体"/>
                <w:sz w:val="24"/>
                <w:szCs w:val="24"/>
                <w:lang w:bidi="ar"/>
              </w:rPr>
              <w:t>26</w:t>
            </w:r>
            <w:r>
              <w:rPr>
                <w:rStyle w:val="28"/>
                <w:rFonts w:hint="default" w:ascii="宋体" w:hAnsi="宋体" w:eastAsia="宋体" w:cs="宋体"/>
                <w:sz w:val="24"/>
                <w:szCs w:val="24"/>
                <w:lang w:bidi="ar"/>
              </w:rPr>
              <w:t>.内置无线传屏功能（不接受外接或软投屏方式）。提供证明文件</w:t>
            </w:r>
            <w:r>
              <w:rPr>
                <w:rFonts w:hint="eastAsia" w:ascii="宋体" w:hAnsi="宋体"/>
                <w:color w:val="000000"/>
                <w:kern w:val="0"/>
                <w:sz w:val="24"/>
              </w:rPr>
              <w:t>并加盖投标人公章；</w:t>
            </w:r>
          </w:p>
          <w:p>
            <w:pPr>
              <w:widowControl/>
              <w:jc w:val="left"/>
              <w:textAlignment w:val="top"/>
              <w:rPr>
                <w:rStyle w:val="28"/>
                <w:rFonts w:hint="default" w:ascii="宋体" w:hAnsi="宋体" w:eastAsia="宋体" w:cs="宋体"/>
                <w:sz w:val="24"/>
                <w:szCs w:val="24"/>
                <w:lang w:bidi="ar"/>
              </w:rPr>
            </w:pPr>
            <w:r>
              <w:rPr>
                <w:rStyle w:val="28"/>
                <w:rFonts w:hint="default" w:ascii="宋体" w:hAnsi="宋体" w:eastAsia="宋体" w:cs="宋体"/>
                <w:sz w:val="24"/>
                <w:szCs w:val="24"/>
                <w:lang w:bidi="ar"/>
              </w:rPr>
              <w:t>a)支持多种设备无线投屏，安卓、iOS 等设备透过无线 WIFI 进行传输。用户可快速将移动设备上的文档、图片、音乐、视频、桌面等内容投屏到交互平板上；</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 xml:space="preserve">b)传屏功能支持传屏码常显、支持分程序投屏、支持扩展屏； </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 xml:space="preserve">c)无线投屏器在使用过程中不占 用电脑 Wi-Fi, 电脑仍可以上网； </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d)支持外部电脑音视频高清信号实时传输到交互平板上,并可支持触摸回传;</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e)最远传输距离达到 15 米</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f)5G/ 2.4G Wi-Fi 传输信道, 手机透过热点投屏可同时连接上网；</w:t>
            </w:r>
            <w:r>
              <w:rPr>
                <w:rStyle w:val="28"/>
                <w:rFonts w:hint="default" w:ascii="宋体" w:hAnsi="宋体" w:eastAsia="宋体" w:cs="宋体"/>
                <w:sz w:val="24"/>
                <w:szCs w:val="24"/>
                <w:lang w:bidi="ar"/>
              </w:rPr>
              <w:br w:type="textWrapping"/>
            </w:r>
            <w:r>
              <w:rPr>
                <w:rStyle w:val="28"/>
                <w:rFonts w:hint="default" w:ascii="宋体" w:hAnsi="宋体" w:eastAsia="宋体" w:cs="宋体"/>
                <w:sz w:val="24"/>
                <w:szCs w:val="24"/>
                <w:lang w:bidi="ar"/>
              </w:rPr>
              <w:t>g）支持同时不小于8路传屏发射端对应一台交互平板，可通过按键切换传输源的画面及声音;</w:t>
            </w:r>
          </w:p>
          <w:p>
            <w:pPr>
              <w:widowControl/>
              <w:jc w:val="left"/>
              <w:textAlignment w:val="top"/>
              <w:rPr>
                <w:rFonts w:ascii="宋体" w:hAnsi="宋体" w:cs="宋体"/>
                <w:color w:val="000000"/>
                <w:sz w:val="24"/>
              </w:rPr>
            </w:pPr>
            <w:r>
              <w:rPr>
                <w:rFonts w:hint="eastAsia" w:ascii="宋体" w:hAnsi="宋体" w:cs="宋体"/>
                <w:color w:val="000000"/>
                <w:kern w:val="0"/>
                <w:sz w:val="24"/>
                <w:lang w:bidi="ar"/>
              </w:rPr>
              <w:t>#27.</w:t>
            </w:r>
            <w:r>
              <w:rPr>
                <w:rFonts w:hint="eastAsia" w:ascii="宋体" w:hAnsi="宋体" w:cs="宋体"/>
                <w:color w:val="000000" w:themeColor="text1"/>
                <w:kern w:val="0"/>
                <w:sz w:val="24"/>
                <w:lang w:bidi="ar"/>
                <w14:textFill>
                  <w14:solidFill>
                    <w14:schemeClr w14:val="tx1"/>
                  </w14:solidFill>
                </w14:textFill>
              </w:rPr>
              <w:t>提供厂家针对本项目的售后服务承诺书并加盖厂家公章。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VR头盔 </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1、屏幕：2个3.5英寸AMOLED；分辨率：单眼分辨率≥1440x1600，双眼分辨率≥3K（2880x1600）；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刷新率≥90Hz；视场角≥110°；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2、音频输出：提供不低于Hi-ResAudio认证头戴式设备；不低于Hi-ResAudio认证耳机（可拆卸式）支持高阻抗耳机；音频输入：内置麦克风；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3、连接口：USB-C3.0、DP1.2、蓝牙；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4、传感器：360°房型空间虚拟现实追踪技术、G-sensor校正、gyroscope陀螺仪、proximity距离感测器、瞳距感测器；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5、人体工学设计：可调整镜头距离（适配佩戴眼镜用户）；可以调整瞳距；可调试耳机；可调试头带;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6、单套设备最大跟踪范围≥7m×7m；按键数量≥5；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7、跟踪：使用跟踪设备进行运动捕获具有振动反馈；</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立体眼镜</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1.工作频段2.4Ghz；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2.透光率38%；</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3.工作刷新率：96Hz, 120Hz, 144Hz, 192Hz；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4.对比度：≥940:1；</w:t>
            </w:r>
            <w:r>
              <w:rPr>
                <w:rFonts w:hint="eastAsia" w:ascii="宋体" w:hAnsi="宋体" w:cs="宋体"/>
                <w:color w:val="000000"/>
                <w:kern w:val="0"/>
                <w:sz w:val="24"/>
                <w:lang w:bidi="ar"/>
              </w:rPr>
              <w:br w:type="textWrapping"/>
            </w:r>
            <w:r>
              <w:rPr>
                <w:rFonts w:ascii="宋体" w:hAnsi="宋体" w:cs="宋体"/>
                <w:color w:val="000000"/>
                <w:kern w:val="0"/>
                <w:sz w:val="24"/>
                <w:lang w:bidi="ar"/>
              </w:rPr>
              <w:t>5</w:t>
            </w:r>
            <w:r>
              <w:rPr>
                <w:rFonts w:hint="eastAsia" w:ascii="宋体" w:hAnsi="宋体" w:cs="宋体"/>
                <w:color w:val="000000"/>
                <w:kern w:val="0"/>
                <w:sz w:val="24"/>
                <w:lang w:bidi="ar"/>
              </w:rPr>
              <w:t>.工作温度：0-40度；</w:t>
            </w:r>
            <w:r>
              <w:rPr>
                <w:rFonts w:hint="eastAsia" w:ascii="宋体" w:hAnsi="宋体" w:cs="宋体"/>
                <w:color w:val="000000"/>
                <w:kern w:val="0"/>
                <w:sz w:val="24"/>
                <w:lang w:bidi="ar"/>
              </w:rPr>
              <w:br w:type="textWrapping"/>
            </w:r>
            <w:r>
              <w:rPr>
                <w:rFonts w:ascii="宋体" w:hAnsi="宋体" w:cs="宋体"/>
                <w:color w:val="000000"/>
                <w:kern w:val="0"/>
                <w:sz w:val="24"/>
                <w:lang w:bidi="ar"/>
              </w:rPr>
              <w:t>6</w:t>
            </w:r>
            <w:r>
              <w:rPr>
                <w:rFonts w:hint="eastAsia" w:ascii="宋体" w:hAnsi="宋体" w:cs="宋体"/>
                <w:color w:val="000000"/>
                <w:kern w:val="0"/>
                <w:sz w:val="24"/>
                <w:lang w:bidi="ar"/>
              </w:rPr>
              <w:t>.内置充电电池，可充电反复使用，充满电后可使用75小时；</w:t>
            </w:r>
            <w:r>
              <w:rPr>
                <w:rFonts w:hint="eastAsia" w:ascii="宋体" w:hAnsi="宋体" w:cs="宋体"/>
                <w:color w:val="000000"/>
                <w:kern w:val="0"/>
                <w:sz w:val="24"/>
                <w:lang w:bidi="ar"/>
              </w:rPr>
              <w:br w:type="textWrapping"/>
            </w:r>
            <w:r>
              <w:rPr>
                <w:rFonts w:ascii="宋体" w:hAnsi="宋体" w:cs="宋体"/>
                <w:color w:val="000000"/>
                <w:kern w:val="0"/>
                <w:sz w:val="24"/>
                <w:lang w:bidi="ar"/>
              </w:rPr>
              <w:t>7</w:t>
            </w:r>
            <w:r>
              <w:rPr>
                <w:rFonts w:hint="eastAsia" w:ascii="宋体" w:hAnsi="宋体" w:cs="宋体"/>
                <w:color w:val="000000"/>
                <w:kern w:val="0"/>
                <w:sz w:val="24"/>
                <w:lang w:bidi="ar"/>
              </w:rPr>
              <w:t>.具有自动关机功能；</w:t>
            </w:r>
            <w:r>
              <w:rPr>
                <w:rFonts w:hint="eastAsia" w:ascii="宋体" w:hAnsi="宋体" w:cs="宋体"/>
                <w:color w:val="000000"/>
                <w:kern w:val="0"/>
                <w:sz w:val="24"/>
                <w:lang w:bidi="ar"/>
              </w:rPr>
              <w:br w:type="textWrapping"/>
            </w:r>
            <w:r>
              <w:rPr>
                <w:rFonts w:ascii="宋体" w:hAnsi="宋体" w:cs="宋体"/>
                <w:color w:val="000000"/>
                <w:kern w:val="0"/>
                <w:sz w:val="24"/>
                <w:lang w:bidi="ar"/>
              </w:rPr>
              <w:t>8</w:t>
            </w:r>
            <w:r>
              <w:rPr>
                <w:rFonts w:hint="eastAsia" w:ascii="宋体" w:hAnsi="宋体" w:cs="宋体"/>
                <w:color w:val="000000"/>
                <w:kern w:val="0"/>
                <w:sz w:val="24"/>
                <w:lang w:bidi="ar"/>
              </w:rPr>
              <w:t>.提供三种规格的眼镜腿；</w:t>
            </w:r>
            <w:r>
              <w:rPr>
                <w:rFonts w:hint="eastAsia" w:ascii="宋体" w:hAnsi="宋体" w:cs="宋体"/>
                <w:color w:val="000000"/>
                <w:kern w:val="0"/>
                <w:sz w:val="24"/>
                <w:lang w:bidi="ar"/>
              </w:rPr>
              <w:br w:type="textWrapping"/>
            </w:r>
            <w:r>
              <w:rPr>
                <w:rFonts w:ascii="宋体" w:hAnsi="宋体" w:cs="宋体"/>
                <w:color w:val="000000"/>
                <w:kern w:val="0"/>
                <w:sz w:val="24"/>
                <w:lang w:bidi="ar"/>
              </w:rPr>
              <w:t>9</w:t>
            </w:r>
            <w:r>
              <w:rPr>
                <w:rFonts w:hint="eastAsia" w:ascii="宋体" w:hAnsi="宋体" w:cs="宋体"/>
                <w:color w:val="000000"/>
                <w:kern w:val="0"/>
                <w:sz w:val="24"/>
                <w:lang w:bidi="ar"/>
              </w:rPr>
              <w:t>.具有可以调整左右眼反转的按键；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VR工作站</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处理器：性能不低于I7-10700K  *  1（3.8主频8核心）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内存：32G DDR4 2933 ECC REG   *  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硬盘：1T SATA 7.2K 3.5寸桌面硬盘  *  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固态：256G  SSD  * 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显卡:GTX1660TI  6GB 4DP  *  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电源：460W热插拔电源  *  1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显示器：27寸  2K   *   1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操作系统：正版WIN10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系统服务器</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处理器：性能不低于4210R 2.4GHz 2400MHz 10C 100W CPU  *  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内存：32G 3200 DDR4  *  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硬盘：1.2T SAS 2.5 10K  *  3</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阵列卡：H750 8G缓存  *  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电源：750W热插拔电源 *  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导轨：静态导轨  *  1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网卡：四口千兆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操作系统：正版windows server 2016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图形图像工作站</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处理器：性能不低于Intel Xeon 4215R 3.2GHz 2400MHz 8C 130W CPU</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内存：64GB (4x16GB) DDR4 2933 ECC REG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显卡： RTX A4000 16GB 4DP</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固态硬盘：M.2 256GB SSD</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机械硬盘：1TB 7200RPM SATA 3.5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电源：1000W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网卡：双口千兆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操作系统：预装正版WIN10中文版系统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含27寸显示器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翻转电脑学习座椅套装</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1.尺寸:800mm*600mm*750mm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2.产品材质: 优质高密度板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3.合理的设备分布及尺寸安排,可适配17寸或19寸液晶屏显示器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六边形桌椅套装 </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1、造型设计：采用六边形桌面设计，2梯形拼接，接缝平整、光洁，满足各类场地要求。带键盘托，桌面整体效果美观。各工位收纳置物区域可放置机箱和VR头戴设备，保证桌面清洁。要求桌底稳定，不可使用转向轮。为满足学生看清桌面，显示器距离桌子边距不大于65cm；VR模式开启后，显示桌面可放平，解决学生对屏幕的误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2、可满足48人同时上课，开展实验使用，要求结实耐用，符合人机功效；尺寸2100mm*1810mm*750mm，单桌面边长尺寸1045mm，内六边形单边宽度300mm-550mm。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3、桌面材质：环保耐用，采用生态板，厚度大于等于25mm，能抗静电，六边形倒角拼接处理，切割处以聚氰胺贴纸板封边，安全不刮手，桌面颜色可选，可放置主机、显示器、键盘等。</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7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学院虚拟仿真教学实验中心仪器存放柜</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根据实验室仪器设备的大小设计制作柜子，将现有仪器设备与虚拟仿真实验相结合。</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tblPrEx>
          <w:tblCellMar>
            <w:top w:w="0" w:type="dxa"/>
            <w:left w:w="108" w:type="dxa"/>
            <w:bottom w:w="0" w:type="dxa"/>
            <w:right w:w="108" w:type="dxa"/>
          </w:tblCellMar>
        </w:tblPrEx>
        <w:trPr>
          <w:trHeight w:val="576"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bookmarkStart w:id="289" w:name="_Hlk106728464"/>
            <w:r>
              <w:rPr>
                <w:rFonts w:hint="eastAsia" w:ascii="宋体" w:hAnsi="宋体" w:cs="宋体"/>
                <w:color w:val="000000"/>
                <w:kern w:val="0"/>
                <w:sz w:val="24"/>
                <w:lang w:bidi="ar"/>
              </w:rPr>
              <w:t>31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云管理平台</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4"/>
              </w:numPr>
              <w:jc w:val="left"/>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利用现有60台客户端设备，无需额外硬件支持即可实现跨网段管理维护。为保证客户端的业务连续性，客户端运行不受网络限制，保证客户端在网络中断脱离服务器的情况下亦能稳定运行。</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2、服务端采用web管理模式，需支持群集负载功能。支持多通道数据分流，提高服务器运行效率，可选择指定多个数据通道进行流量分流传输，降低单台服务器工作压力。单台服务器可支持多网卡数据分流。</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每个客户端可跨系统平台,支持多桌面环境（windows全系列、linux全系列），每个客户端支持不少于10个不同的桌面环境，支持桌面选择及默认桌面启动。可策略设定客户端外设端口管控方案，可针对不同外设端口进行单独管理。可在不影响客户端正常使用的前提下，进行更新维护，一次重新启动的时间即可获得更新后的桌面环境。管理员可根据需求选择开放桌面及桌面内容。</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4、不同品牌型号的客户端可统一集中管理，新增客户端设备无需单独更新驱动程序，只需更新桌面环境即可运行。</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5、桌面环境管理采用树状节点形式，相互独立、相互之间无继承关系。桌面更新为纯增量更新，删除、添加任何一个桌面环境，不影响其它桌面环境的正常使用，保证数据独立性、完整性。</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6、客户端可在脱离服务器的情况下，运行10个以上的桌面环境，以保证客户端运行的连续性。</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7、服务器支持远程控制协助功能、可远程控屏、锁定、关机。支持通知内容编辑管理功能、支持命令行命令集体推送执行功能。</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8、可在架构下任意一台客户端设备更新维护任意桌面环境，客户端无需进入操作系统即可封装上传新的桌面环境。</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#9、服务器端具备网络嗅探功能：在客户端脱离服务器时可通过网络嗅探功能展现客户端和网络设备物理链接关系，快速定位客户端;</w:t>
            </w:r>
          </w:p>
          <w:p>
            <w:pPr>
              <w:widowControl/>
              <w:jc w:val="left"/>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#10、服务器端可在不增加额外硬件设备的情况下，跨网段远程唤醒所有客户端，具备计划任务功能，达到无人值守、客户端定时开关机。</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11、服务器端具有设备统计监管功能，实时了解每一台客户端设备硬件信息（cpu、内存、显卡、硬盘、主板等）。</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12、数据备份支持计划任务功能：1、可设定数据备份时间、数据备份存储路径、数据备份的数据类型，实现自动备份。2、支持备份数据下载还原到客户端及备份数据删除、修改。</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13、需具备常用客户端管理功能：计算机属性修改、设备故障快速恢复、桌面环境更新、多途径还原、客户端分组管理、桌面环境设置、桌面启动管理、数据盘管理。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14、管理员可根据需求，针对不用的设备进行端口管控如HDD、USB、DVD等。基于底层的I/O控制技术，控制客户端的I/O输入、输出设备。</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15、支持一键导出，服务器的虚拟系统，在客户端在无法连接服务器且本地无任何文件系统、操作系统的情况下，可通过移动存储设备将服务器上的桌面环境写入到客户端。</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16、客户端更新可实现无人值守：1、具备计划任务功能：可根据计划任务设置客户端实现定时开机更新维护，更新维护结束后自动关机；2、断点实时更新功能：在不影响客户端正常使用的前提下，客户端启动后，后台自动更新，具备断点续传功能；</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17、具备P2P传输协议，减少主干网络传输中的重复数据降低网络占用，提高传输效率。</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18、客户端更新维护简单方便无需借助第三方软件，可通过远程登录服务器等方式，在架构下任意一台计算机更新维护所有客户端。</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#19、客户端桌面环境数据采用纯增量的方式存储数据，从而降低硬盘容量占用，提高启动速度。500G硬盘可实现存储10个以上桌面环境;单系统默认支持128个更新点。支持差异节点按需分配，增量更新。</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20、客户端桌面环境支持树状节点，可基于同一个操作系统增加不同软件生成不同的桌面环境，不同桌面环境之间无继承关系，且相互独立。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21、支持小批量WIFI网络的部署与更新桌面。满足学校使用WIFI进行部署的使用场景，简化网络结构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22、可以统一强制设置所有系统应用终端显示的分辨率</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23、支持客户端所有系统共享数据盘，支持某个系统私有独立的数据盘</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24、支持客户端在不联网的情况下，跟服务器同步时钟，保证教师机与学生机时钟毫秒级同步，减少教学延迟。</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25、支持客户端软件运行次数、运行时长以及版本的统计。方便管理人员了解各个机房的利用率;客户端每个桌面环境的系统盘无需额外设置，可根据更新情况自动扩充存储容量，无需重新部署安装系统和软件；客户端支持多块物理硬盘，可在不同的物理硬盘部署多个桌面环境;虚拟文件为通用标准的VHD格式，可以在WINDOWS系统环境中进行挂载、查看、编辑；</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26、可以通过移动端设备无需下载安装软件，即可远程访问使用服务器发布的软件资源。</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#27、支持客户端桌面显示当前计算机的计算机名称、IP、当前桌面信息、CPU使用率,方便维护管理，快速定位虚拟终端。</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28、更新桌面简单方便，不需要远程或者登陆服务器，只需要在客户机上找一台计算机，输入账号密码，就可以更新软件。确认更新后，全自动跟服务器同步至使用该系统的所有客户端，可实现“傻瓜式”操作。其他虚拟终端自动更新，无需人工值守。</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以上“#”号项需要提供界面截图，并加盖投标人公章。</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以上“#”号项</w:t>
            </w:r>
            <w:r>
              <w:rPr>
                <w:rFonts w:hint="eastAsia" w:ascii="宋体" w:hAnsi="宋体" w:cs="宋体"/>
                <w:sz w:val="24"/>
              </w:rPr>
              <w:t>实际供货中如发现中标方所提供的产品的性能参数与投标文件承诺不一致，招标公司和招标单位有权追究中标方法律责任。</w:t>
            </w:r>
          </w:p>
          <w:p>
            <w:pPr>
              <w:widowControl/>
              <w:jc w:val="left"/>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29、为保证系统的稳定性和一致性，所有功能模块必须在同一个软件平台下实现，需提供厂家承诺书并加盖厂家公章。</w:t>
            </w:r>
          </w:p>
          <w:p>
            <w:pPr>
              <w:widowControl/>
              <w:jc w:val="left"/>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#提供软件著作权、软件测试报告的复印件并加盖厂家公章。</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#提供厂家针对本项目的售后服务承诺书并加盖厂家公章。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bookmarkEnd w:id="288"/>
      <w:bookmarkEnd w:id="289"/>
    </w:tbl>
    <w:p>
      <w:pPr>
        <w:pStyle w:val="5"/>
        <w:rPr>
          <w:lang w:val="en-US"/>
        </w:rPr>
      </w:pPr>
    </w:p>
    <w:p>
      <w:bookmarkStart w:id="290" w:name="_Toc23234"/>
      <w:r>
        <w:rPr>
          <w:rFonts w:hint="eastAsia"/>
        </w:rPr>
        <w:br w:type="textWrapping"/>
      </w:r>
    </w:p>
    <w:p>
      <w:r>
        <w:rPr>
          <w:rFonts w:hint="eastAsia"/>
        </w:rPr>
        <w:br w:type="page"/>
      </w:r>
    </w:p>
    <w:p>
      <w:pPr>
        <w:pStyle w:val="3"/>
      </w:pPr>
      <w:r>
        <w:rPr>
          <w:rFonts w:hint="eastAsia"/>
        </w:rPr>
        <w:t>第五章 评标方法和评标标准</w:t>
      </w:r>
      <w:bookmarkEnd w:id="290"/>
    </w:p>
    <w:p>
      <w:pPr>
        <w:pStyle w:val="4"/>
      </w:pPr>
      <w:bookmarkStart w:id="291" w:name="_Toc22496"/>
      <w:bookmarkStart w:id="292" w:name="_Toc40114223"/>
      <w:bookmarkStart w:id="293" w:name="_Toc40111024"/>
      <w:bookmarkStart w:id="294" w:name="_Toc11872"/>
      <w:r>
        <w:rPr>
          <w:rFonts w:hint="eastAsia"/>
        </w:rPr>
        <w:t>一、投标文件资格册审查</w:t>
      </w:r>
      <w:bookmarkEnd w:id="291"/>
      <w:bookmarkEnd w:id="292"/>
      <w:bookmarkEnd w:id="293"/>
      <w:bookmarkEnd w:id="294"/>
    </w:p>
    <w:p>
      <w:pPr>
        <w:spacing w:line="360" w:lineRule="auto"/>
        <w:rPr>
          <w:rFonts w:ascii="宋体" w:hAnsi="宋体"/>
          <w:sz w:val="24"/>
        </w:rPr>
      </w:pPr>
      <w:r>
        <w:rPr>
          <w:rFonts w:hint="eastAsia" w:ascii="宋体" w:hAnsi="宋体"/>
          <w:sz w:val="24"/>
        </w:rPr>
        <w:t>项目名称：                       项目代理编号：</w:t>
      </w:r>
    </w:p>
    <w:p>
      <w:pPr>
        <w:spacing w:line="360" w:lineRule="auto"/>
        <w:rPr>
          <w:rFonts w:ascii="宋体" w:hAnsi="宋体"/>
          <w:sz w:val="24"/>
        </w:rPr>
      </w:pPr>
      <w:r>
        <w:rPr>
          <w:rFonts w:hint="eastAsia" w:ascii="宋体" w:hAnsi="宋体"/>
          <w:sz w:val="24"/>
        </w:rPr>
        <w:t>评标地点：                       评标日期：</w:t>
      </w:r>
    </w:p>
    <w:tbl>
      <w:tblPr>
        <w:tblStyle w:val="20"/>
        <w:tblW w:w="9198" w:type="dxa"/>
        <w:jc w:val="center"/>
        <w:tblLayout w:type="fixed"/>
        <w:tblCellMar>
          <w:top w:w="0" w:type="dxa"/>
          <w:left w:w="108" w:type="dxa"/>
          <w:bottom w:w="0" w:type="dxa"/>
          <w:right w:w="108" w:type="dxa"/>
        </w:tblCellMar>
      </w:tblPr>
      <w:tblGrid>
        <w:gridCol w:w="668"/>
        <w:gridCol w:w="4366"/>
        <w:gridCol w:w="858"/>
        <w:gridCol w:w="814"/>
        <w:gridCol w:w="869"/>
        <w:gridCol w:w="807"/>
        <w:gridCol w:w="816"/>
      </w:tblGrid>
      <w:tr>
        <w:tblPrEx>
          <w:tblCellMar>
            <w:top w:w="0" w:type="dxa"/>
            <w:left w:w="108" w:type="dxa"/>
            <w:bottom w:w="0"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评议内容</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CellMar>
            <w:top w:w="0" w:type="dxa"/>
            <w:left w:w="108" w:type="dxa"/>
            <w:bottom w:w="0" w:type="dxa"/>
            <w:right w:w="108" w:type="dxa"/>
          </w:tblCellMar>
        </w:tblPrEx>
        <w:trPr>
          <w:jc w:val="center"/>
        </w:trPr>
        <w:tc>
          <w:tcPr>
            <w:tcW w:w="668"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查</w:t>
            </w: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三证合一的营业执照或事业单位法人证书复印件；投标人是自然人的，应提供其有效的自然身份证明复印件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注：①事业人单位提供《事业单位法人证书》、民办非企业单位提供《民办非企业单位登记证书》复印件。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②提供的复印件须加盖本单位公章。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投标人提供经会计师事务所出具的</w:t>
            </w:r>
            <w:r>
              <w:rPr>
                <w:rFonts w:hint="eastAsia" w:ascii="宋体" w:hAnsi="宋体" w:eastAsiaTheme="minorEastAsia"/>
                <w:sz w:val="24"/>
              </w:rPr>
              <w:t>2020年度或2021年度</w:t>
            </w:r>
            <w:r>
              <w:rPr>
                <w:rFonts w:hint="eastAsia" w:asciiTheme="minorEastAsia" w:hAnsiTheme="minorEastAsia" w:eastAsiaTheme="minorEastAsia"/>
                <w:sz w:val="24"/>
              </w:rPr>
              <w:t>财务审计报告（须包含资产负债表、利润表、现金流量表及财务报表附注）复印件（须加盖本单位公章）。如投标人无法提供</w:t>
            </w:r>
            <w:r>
              <w:rPr>
                <w:rFonts w:hint="eastAsia" w:ascii="宋体" w:hAnsi="宋体" w:eastAsiaTheme="minorEastAsia"/>
                <w:sz w:val="24"/>
              </w:rPr>
              <w:t>2020年度或2021年度</w:t>
            </w:r>
            <w:r>
              <w:rPr>
                <w:rFonts w:hint="eastAsia" w:asciiTheme="minorEastAsia" w:hAnsiTheme="minorEastAsia" w:eastAsiaTheme="minorEastAsia"/>
                <w:sz w:val="24"/>
              </w:rPr>
              <w:t>的财务审计报告，则须提供银行出具的有效资信证明。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说明：1、银行资信证明是指投标人参加本次投标截止日前一年内银行出具的资信证明（成立一年内的公司可提交验资证明复印件并加盖投标人公章）,且无收受人和项目的限制，但开具银行有限制规定的除外；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2、银行资信证明可以是复印件(须加盖投标人公章)，评标委员会保留审核原件的权利；银行资信证明的开具银行明确规定复印无效的，须提交原件；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3、银行资信证明的开具银行明确规定背面有声明的，须提供资信证明背面复印件；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4、银行资信证明应能说明该投标人与银行之间业务往来正常，企业信誉良好等；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5、银行出具的存款证明不能替代银行资信证明，存款证明无效。</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依法缴纳社会保障资金的良好记录（投标人逐月交纳社会保障资金的，须提供参加本次政府采购活动近半年内任意一个月由银行出具的社会保障资金缴费凭证复印件（须加盖本单位公章）；投标人逐年缴纳社会保障资金的，须提供参加本次政府采购活动上年度由银行出具的社会保障资金缴费凭证复印件（须加盖本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注：依法不需要缴纳社会保障资金的投标人，须提供相应文件证明。</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有依法缴纳税收的良好记录（投标人提供参加本次政府采购活动近半年内任意一个月由银行出具的缴纳凭证复印件（须加盖本单位公章）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注：依法免税或零报税的投标人，须提供相应文件证明。</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参加本次政府采购活动前三年内，在经营活动中没有重大违法记录的声明（投标人须提供此声明，法定代表人或其授权代表签字，并加盖本单位公章）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投标人须承诺不同投标人的法人、单位负责人不是同一人也不存在直接控股、管理关系，并加盖本单位公章（格式自拟）</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kern w:val="0"/>
                <w:sz w:val="24"/>
              </w:rPr>
              <w:t>投标人须承诺已向采购代理机构购买招标文件并登记备案，并加盖本单位公章（格式自拟）</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trHeight w:val="3542" w:hRule="atLeast"/>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未被列入“信用中国”网站（www.creditchina.gov.cn）、中国政府采购网（www.ccgp.gov.cn）信用记录失信被执行人、重大税收违法案件当事人名单、政府采购严重违法失信行为记录名单。</w:t>
            </w:r>
          </w:p>
          <w:p>
            <w:pPr>
              <w:pStyle w:val="8"/>
            </w:pPr>
            <w:r>
              <w:rPr>
                <w:rFonts w:hint="eastAsia" w:ascii="宋体" w:hAnsi="宋体"/>
                <w:kern w:val="0"/>
                <w:sz w:val="24"/>
              </w:rPr>
              <w:t>注：采购代理机构开标后查询结果页面打印并存档。</w:t>
            </w:r>
          </w:p>
        </w:tc>
        <w:tc>
          <w:tcPr>
            <w:tcW w:w="858" w:type="dxa"/>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50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结论</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spacing w:line="360" w:lineRule="auto"/>
        <w:rPr>
          <w:rFonts w:ascii="宋体" w:hAnsi="宋体"/>
          <w:b/>
          <w:bCs/>
          <w:sz w:val="24"/>
        </w:rPr>
      </w:pPr>
    </w:p>
    <w:p>
      <w:pPr>
        <w:spacing w:line="360" w:lineRule="auto"/>
        <w:rPr>
          <w:rFonts w:ascii="宋体" w:hAnsi="宋体" w:cs="仿宋_GB2312"/>
          <w:b/>
          <w:color w:val="000000"/>
          <w:kern w:val="0"/>
          <w:sz w:val="24"/>
        </w:rPr>
      </w:pPr>
      <w:r>
        <w:rPr>
          <w:rFonts w:hint="eastAsia" w:ascii="宋体" w:hAnsi="宋体"/>
          <w:sz w:val="24"/>
        </w:rPr>
        <w:t>采购代理机构签字：</w:t>
      </w:r>
    </w:p>
    <w:p>
      <w:pPr>
        <w:autoSpaceDE w:val="0"/>
        <w:autoSpaceDN w:val="0"/>
        <w:adjustRightInd w:val="0"/>
        <w:spacing w:line="360" w:lineRule="auto"/>
        <w:jc w:val="left"/>
        <w:rPr>
          <w:rFonts w:ascii="宋体" w:hAnsi="宋体" w:cs="仿宋_GB2312"/>
          <w:b/>
          <w:color w:val="000000"/>
          <w:kern w:val="0"/>
          <w:sz w:val="24"/>
        </w:rPr>
      </w:pPr>
      <w:r>
        <w:rPr>
          <w:rFonts w:hint="eastAsia" w:ascii="宋体" w:hAnsi="宋体" w:cs="仿宋_GB2312"/>
          <w:b/>
          <w:color w:val="000000"/>
          <w:kern w:val="0"/>
          <w:sz w:val="24"/>
        </w:rPr>
        <w:t>注：1、投标人资格审查均以投标人在资格册所提供的证明材料为准。若投标人未按要求提交证明材料，所造成的后果由投标人自行承担； </w:t>
      </w:r>
    </w:p>
    <w:p>
      <w:pPr>
        <w:autoSpaceDE w:val="0"/>
        <w:autoSpaceDN w:val="0"/>
        <w:adjustRightInd w:val="0"/>
        <w:spacing w:line="360" w:lineRule="auto"/>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2、审查内容具体要求及格式详见第七章附件。</w:t>
      </w:r>
    </w:p>
    <w:p>
      <w:bookmarkStart w:id="295" w:name="_Toc32587"/>
      <w:bookmarkStart w:id="296" w:name="_Toc40111025"/>
      <w:bookmarkStart w:id="297" w:name="_Toc40114224"/>
      <w:r>
        <w:rPr>
          <w:rFonts w:hint="eastAsia"/>
        </w:rPr>
        <w:br w:type="page"/>
      </w:r>
    </w:p>
    <w:p>
      <w:pPr>
        <w:pStyle w:val="4"/>
      </w:pPr>
      <w:bookmarkStart w:id="298" w:name="_Toc15177"/>
      <w:r>
        <w:rPr>
          <w:rFonts w:hint="eastAsia"/>
        </w:rPr>
        <w:t>二、投标文件商务技术册审查</w:t>
      </w:r>
      <w:bookmarkEnd w:id="295"/>
      <w:bookmarkEnd w:id="296"/>
      <w:bookmarkEnd w:id="297"/>
      <w:bookmarkEnd w:id="298"/>
    </w:p>
    <w:p>
      <w:pPr>
        <w:spacing w:line="360" w:lineRule="auto"/>
        <w:rPr>
          <w:rFonts w:ascii="宋体" w:hAnsi="宋体"/>
          <w:sz w:val="24"/>
        </w:rPr>
      </w:pPr>
      <w:r>
        <w:rPr>
          <w:rFonts w:hint="eastAsia" w:ascii="宋体" w:hAnsi="宋体"/>
          <w:sz w:val="24"/>
        </w:rPr>
        <w:t>项目名称：                      项目代理编号：</w:t>
      </w:r>
    </w:p>
    <w:p>
      <w:pPr>
        <w:spacing w:line="360" w:lineRule="auto"/>
        <w:rPr>
          <w:rFonts w:ascii="宋体" w:hAnsi="宋体"/>
          <w:sz w:val="24"/>
        </w:rPr>
      </w:pPr>
      <w:r>
        <w:rPr>
          <w:rFonts w:hint="eastAsia" w:ascii="宋体" w:hAnsi="宋体"/>
          <w:sz w:val="24"/>
        </w:rPr>
        <w:t>评标地点：                      评标日期：</w:t>
      </w:r>
    </w:p>
    <w:tbl>
      <w:tblPr>
        <w:tblStyle w:val="21"/>
        <w:tblW w:w="91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4084"/>
        <w:gridCol w:w="967"/>
        <w:gridCol w:w="967"/>
        <w:gridCol w:w="968"/>
        <w:gridCol w:w="6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符合性审查</w:t>
            </w:r>
          </w:p>
        </w:tc>
        <w:tc>
          <w:tcPr>
            <w:tcW w:w="408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评审内容</w:t>
            </w:r>
          </w:p>
        </w:tc>
        <w:tc>
          <w:tcPr>
            <w:tcW w:w="96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96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968"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669" w:type="dxa"/>
          </w:tcPr>
          <w:p>
            <w:pPr>
              <w:spacing w:line="360" w:lineRule="auto"/>
              <w:rPr>
                <w:rFonts w:asciiTheme="minorEastAsia" w:hAnsiTheme="minorEastAsia" w:eastAsiaTheme="minorEastAsia"/>
                <w:sz w:val="24"/>
              </w:rPr>
            </w:pPr>
            <w:r>
              <w:rPr>
                <w:rFonts w:asciiTheme="minorEastAsia" w:hAnsiTheme="minorEastAsia" w:eastAsiaTheme="minorEastAsia"/>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投标报价是否超预算</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文件签署、盖章</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文件完整性、有效性</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是否对招标文件进行了实质性响应</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其他商务条款</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10"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结论</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bl>
    <w:p>
      <w:pPr>
        <w:spacing w:line="360" w:lineRule="auto"/>
        <w:rPr>
          <w:rFonts w:ascii="宋体" w:hAnsi="宋体"/>
          <w:sz w:val="24"/>
        </w:rPr>
      </w:pPr>
      <w:r>
        <w:rPr>
          <w:rFonts w:hint="eastAsia" w:ascii="宋体" w:hAnsi="宋体"/>
          <w:sz w:val="24"/>
        </w:rPr>
        <w:t>评标委员会签字：</w:t>
      </w:r>
    </w:p>
    <w:p>
      <w:pPr>
        <w:spacing w:line="360" w:lineRule="auto"/>
        <w:rPr>
          <w:rFonts w:ascii="宋体" w:hAnsi="宋体"/>
          <w:b/>
          <w:sz w:val="24"/>
        </w:rPr>
      </w:pPr>
    </w:p>
    <w:p>
      <w:pPr>
        <w:widowControl/>
        <w:jc w:val="left"/>
        <w:rPr>
          <w:rFonts w:ascii="宋体" w:hAnsi="宋体"/>
          <w:b/>
          <w:sz w:val="24"/>
        </w:rPr>
      </w:pPr>
      <w:r>
        <w:rPr>
          <w:rFonts w:ascii="宋体" w:hAnsi="宋体"/>
          <w:b/>
          <w:sz w:val="24"/>
        </w:rPr>
        <w:br w:type="page"/>
      </w:r>
    </w:p>
    <w:p>
      <w:pPr>
        <w:pStyle w:val="4"/>
      </w:pPr>
      <w:bookmarkStart w:id="299" w:name="_Toc6709"/>
      <w:r>
        <w:rPr>
          <w:rFonts w:hint="eastAsia"/>
        </w:rPr>
        <w:t>三、评标办法</w:t>
      </w:r>
      <w:bookmarkEnd w:id="299"/>
    </w:p>
    <w:p>
      <w:pPr>
        <w:spacing w:line="360" w:lineRule="auto"/>
        <w:rPr>
          <w:rFonts w:ascii="宋体" w:hAnsi="宋体"/>
          <w:sz w:val="24"/>
        </w:rPr>
      </w:pPr>
      <w:bookmarkStart w:id="300" w:name="_Toc310195758"/>
      <w:bookmarkStart w:id="301" w:name="_Toc491790582"/>
      <w:bookmarkStart w:id="302" w:name="_Toc5895210"/>
      <w:bookmarkStart w:id="303" w:name="_Toc310195761"/>
      <w:bookmarkStart w:id="304" w:name="_Toc520356217"/>
      <w:bookmarkStart w:id="305" w:name="_Ref467988698"/>
      <w:bookmarkStart w:id="306" w:name="_Toc236642990"/>
      <w:bookmarkStart w:id="307" w:name="_Toc480942349"/>
      <w:r>
        <w:rPr>
          <w:rFonts w:hint="eastAsia" w:ascii="宋体" w:hAnsi="宋体"/>
          <w:sz w:val="24"/>
        </w:rPr>
        <w:t>（一）综合评分法，是指投标文件满足招标文件全部实质性要求，且按照评审因素的量化指标评审得分最高的投标人为中标候选人的评标方法。</w:t>
      </w:r>
    </w:p>
    <w:p>
      <w:pPr>
        <w:spacing w:line="360" w:lineRule="auto"/>
        <w:rPr>
          <w:rFonts w:ascii="宋体" w:hAnsi="宋体"/>
          <w:sz w:val="24"/>
        </w:rPr>
      </w:pPr>
      <w:r>
        <w:rPr>
          <w:rFonts w:hint="eastAsia" w:ascii="宋体" w:hAnsi="宋体"/>
          <w:sz w:val="24"/>
        </w:rPr>
        <w:t>（二）评标时，评标委员会各成员应当独立对每个投标人的投标文件进行评价，并汇总每个投标人的得分。</w:t>
      </w:r>
    </w:p>
    <w:p>
      <w:pPr>
        <w:spacing w:line="360" w:lineRule="auto"/>
        <w:rPr>
          <w:rFonts w:ascii="宋体" w:hAnsi="宋体"/>
          <w:sz w:val="24"/>
        </w:rPr>
      </w:pPr>
      <w:r>
        <w:rPr>
          <w:rFonts w:hint="eastAsia" w:ascii="宋体" w:hAnsi="宋体"/>
          <w:sz w:val="24"/>
        </w:rPr>
        <w:t>（三）价格分应当采用低价优先法计算，即满足招标文件要求且投标价格最低的投标报价为评标基准价，其价格分为满分。其他投标人的价格分统一按照下列公式计算：</w:t>
      </w:r>
    </w:p>
    <w:p>
      <w:pPr>
        <w:spacing w:line="360" w:lineRule="auto"/>
        <w:rPr>
          <w:rFonts w:ascii="宋体" w:hAnsi="宋体"/>
          <w:sz w:val="24"/>
        </w:rPr>
      </w:pPr>
      <w:r>
        <w:rPr>
          <w:rFonts w:hint="eastAsia" w:ascii="宋体" w:hAnsi="宋体"/>
          <w:sz w:val="24"/>
        </w:rPr>
        <w:t>1.投标报价得分＝（评标基准价／投标报价）×100</w:t>
      </w:r>
    </w:p>
    <w:p>
      <w:pPr>
        <w:spacing w:line="360" w:lineRule="auto"/>
        <w:rPr>
          <w:rFonts w:ascii="宋体" w:hAnsi="宋体"/>
          <w:sz w:val="24"/>
        </w:rPr>
      </w:pPr>
      <w:r>
        <w:rPr>
          <w:rFonts w:hint="eastAsia" w:ascii="宋体" w:hAnsi="宋体"/>
          <w:sz w:val="24"/>
        </w:rPr>
        <w:t>2.评标总得分＝F1×A1＋F2×A2＋……＋Fn×An</w:t>
      </w:r>
    </w:p>
    <w:p>
      <w:pPr>
        <w:spacing w:line="360" w:lineRule="auto"/>
        <w:rPr>
          <w:rFonts w:ascii="宋体" w:hAnsi="宋体"/>
          <w:sz w:val="24"/>
        </w:rPr>
      </w:pPr>
      <w:r>
        <w:rPr>
          <w:rFonts w:hint="eastAsia" w:ascii="宋体" w:hAnsi="宋体"/>
          <w:sz w:val="24"/>
        </w:rPr>
        <w:t>3. F1、F2……Fn分别为各项评审因素的得分；</w:t>
      </w:r>
    </w:p>
    <w:p>
      <w:pPr>
        <w:spacing w:line="360" w:lineRule="auto"/>
        <w:rPr>
          <w:rFonts w:ascii="宋体" w:hAnsi="宋体"/>
          <w:sz w:val="24"/>
        </w:rPr>
      </w:pPr>
      <w:r>
        <w:rPr>
          <w:rFonts w:hint="eastAsia" w:ascii="宋体" w:hAnsi="宋体"/>
          <w:sz w:val="24"/>
        </w:rPr>
        <w:t>4.A1、A2、……An 分别为各项评审因素所占的权重（A1＋A2＋……＋An＝1）。</w:t>
      </w:r>
    </w:p>
    <w:p>
      <w:pPr>
        <w:spacing w:line="360" w:lineRule="auto"/>
        <w:rPr>
          <w:rFonts w:ascii="宋体" w:hAnsi="宋体"/>
          <w:sz w:val="24"/>
        </w:rPr>
      </w:pPr>
      <w:r>
        <w:rPr>
          <w:rFonts w:hint="eastAsia" w:ascii="宋体" w:hAnsi="宋体"/>
          <w:sz w:val="24"/>
        </w:rPr>
        <w:t>5.评标过程中，不得去掉报价中的最高报价和最低报价。</w:t>
      </w:r>
    </w:p>
    <w:p>
      <w:pPr>
        <w:spacing w:line="360" w:lineRule="auto"/>
        <w:rPr>
          <w:bCs/>
          <w:color w:val="000000"/>
          <w:sz w:val="24"/>
          <w:u w:val="single"/>
        </w:rPr>
      </w:pPr>
      <w:r>
        <w:rPr>
          <w:rFonts w:hint="eastAsia" w:ascii="宋体" w:hAnsi="宋体"/>
          <w:sz w:val="24"/>
        </w:rPr>
        <w:t>6.因落实政府采购政策进行价格调整的，以调整后的价格计算评标基准价和投标报价。（四）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b/>
          <w:color w:val="000000"/>
          <w:sz w:val="24"/>
        </w:rPr>
        <w:t>（非单一产品采购项目，采购人应当根据采购项目技术构成、产品价格比重等合理确定核心产品，并在招标文件中载明。多家投标人提供的核心产品品牌相同的，按前两款规定处理）。</w:t>
      </w:r>
    </w:p>
    <w:p>
      <w:pPr>
        <w:spacing w:line="360" w:lineRule="auto"/>
      </w:pPr>
      <w:r>
        <w:rPr>
          <w:rFonts w:hint="eastAsia" w:ascii="宋体" w:hAnsi="宋体"/>
          <w:sz w:val="24"/>
        </w:rPr>
        <w:t>（五）中标人拒绝与采购人签订合同的，采购人可以按照评审报告推荐的中标候选人名单排序，确定下一候选人为中标人，也可以重新开展政府采购活动。</w:t>
      </w:r>
    </w:p>
    <w:p>
      <w:pPr>
        <w:spacing w:line="360" w:lineRule="auto"/>
      </w:pPr>
      <w:r>
        <w:rPr>
          <w:rFonts w:ascii="宋体" w:hAnsi="宋体"/>
          <w:b/>
          <w:sz w:val="24"/>
        </w:rPr>
        <w:t>评</w:t>
      </w:r>
      <w:r>
        <w:rPr>
          <w:rFonts w:hint="eastAsia" w:ascii="宋体" w:hAnsi="宋体"/>
          <w:b/>
          <w:sz w:val="24"/>
        </w:rPr>
        <w:t>标标准</w:t>
      </w:r>
      <w:r>
        <w:rPr>
          <w:rFonts w:ascii="宋体" w:hAnsi="宋体"/>
          <w:b/>
          <w:sz w:val="24"/>
        </w:rPr>
        <w:t>：</w:t>
      </w:r>
    </w:p>
    <w:tbl>
      <w:tblPr>
        <w:tblStyle w:val="2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007"/>
        <w:gridCol w:w="6555"/>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pct"/>
            <w:vAlign w:val="center"/>
          </w:tcPr>
          <w:p>
            <w:pPr>
              <w:jc w:val="center"/>
              <w:rPr>
                <w:rFonts w:ascii="宋体" w:hAnsi="宋体"/>
                <w:sz w:val="24"/>
              </w:rPr>
            </w:pPr>
            <w:r>
              <w:rPr>
                <w:rFonts w:hint="eastAsia" w:ascii="宋体" w:hAnsi="宋体"/>
                <w:sz w:val="24"/>
              </w:rPr>
              <w:t>评分项目</w:t>
            </w:r>
          </w:p>
        </w:tc>
        <w:tc>
          <w:tcPr>
            <w:tcW w:w="544" w:type="pct"/>
            <w:vAlign w:val="center"/>
          </w:tcPr>
          <w:p>
            <w:pPr>
              <w:jc w:val="center"/>
              <w:rPr>
                <w:rFonts w:ascii="宋体" w:hAnsi="宋体"/>
                <w:sz w:val="24"/>
              </w:rPr>
            </w:pPr>
            <w:r>
              <w:rPr>
                <w:rFonts w:hint="eastAsia" w:ascii="宋体" w:hAnsi="宋体"/>
                <w:sz w:val="24"/>
              </w:rPr>
              <w:t>评分内容</w:t>
            </w:r>
          </w:p>
        </w:tc>
        <w:tc>
          <w:tcPr>
            <w:tcW w:w="3543" w:type="pct"/>
            <w:vAlign w:val="center"/>
          </w:tcPr>
          <w:p>
            <w:pPr>
              <w:jc w:val="center"/>
              <w:rPr>
                <w:rFonts w:ascii="宋体" w:hAnsi="宋体"/>
                <w:sz w:val="24"/>
              </w:rPr>
            </w:pPr>
            <w:r>
              <w:rPr>
                <w:rFonts w:hint="eastAsia" w:ascii="宋体" w:hAnsi="宋体"/>
                <w:sz w:val="24"/>
              </w:rPr>
              <w:t>评分说明</w:t>
            </w:r>
          </w:p>
        </w:tc>
        <w:tc>
          <w:tcPr>
            <w:tcW w:w="450" w:type="pct"/>
            <w:vAlign w:val="center"/>
          </w:tcPr>
          <w:p>
            <w:pPr>
              <w:jc w:val="center"/>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61" w:type="pct"/>
            <w:vAlign w:val="center"/>
          </w:tcPr>
          <w:p>
            <w:pPr>
              <w:jc w:val="center"/>
              <w:rPr>
                <w:rFonts w:ascii="宋体" w:hAnsi="宋体"/>
                <w:sz w:val="24"/>
              </w:rPr>
            </w:pPr>
            <w:r>
              <w:rPr>
                <w:rFonts w:hint="eastAsia" w:ascii="宋体" w:hAnsi="宋体"/>
                <w:sz w:val="24"/>
              </w:rPr>
              <w:t>价格</w:t>
            </w:r>
          </w:p>
        </w:tc>
        <w:tc>
          <w:tcPr>
            <w:tcW w:w="544" w:type="pct"/>
            <w:vAlign w:val="center"/>
          </w:tcPr>
          <w:p>
            <w:pPr>
              <w:jc w:val="center"/>
              <w:rPr>
                <w:rFonts w:ascii="宋体" w:hAnsi="宋体"/>
                <w:sz w:val="24"/>
              </w:rPr>
            </w:pPr>
            <w:r>
              <w:rPr>
                <w:rFonts w:hint="eastAsia" w:ascii="宋体" w:hAnsi="宋体"/>
                <w:sz w:val="24"/>
              </w:rPr>
              <w:t>投标价格</w:t>
            </w:r>
          </w:p>
        </w:tc>
        <w:tc>
          <w:tcPr>
            <w:tcW w:w="3543" w:type="pct"/>
            <w:tcBorders>
              <w:bottom w:val="single" w:color="auto" w:sz="4" w:space="0"/>
            </w:tcBorders>
            <w:vAlign w:val="center"/>
          </w:tcPr>
          <w:p>
            <w:pPr>
              <w:jc w:val="left"/>
              <w:rPr>
                <w:rFonts w:ascii="宋体" w:hAnsi="宋体"/>
                <w:sz w:val="24"/>
              </w:rPr>
            </w:pPr>
            <w:r>
              <w:rPr>
                <w:rFonts w:hint="eastAsia" w:ascii="宋体" w:hAnsi="宋体"/>
                <w:sz w:val="24"/>
              </w:rPr>
              <w:t>完全满足招标文件要求且投标价格最低的投标报价为评标基准价，其价格分为满分。</w:t>
            </w:r>
          </w:p>
          <w:p>
            <w:pPr>
              <w:jc w:val="left"/>
              <w:rPr>
                <w:rFonts w:ascii="宋体" w:hAnsi="宋体"/>
                <w:sz w:val="24"/>
              </w:rPr>
            </w:pPr>
            <w:r>
              <w:rPr>
                <w:rFonts w:hint="eastAsia" w:ascii="宋体" w:hAnsi="宋体"/>
                <w:sz w:val="24"/>
              </w:rPr>
              <w:t>投标报价得分＝（评标基准价／投标报价）×4</w:t>
            </w:r>
            <w:r>
              <w:rPr>
                <w:rFonts w:ascii="宋体" w:hAnsi="宋体"/>
                <w:sz w:val="24"/>
              </w:rPr>
              <w:t>0</w:t>
            </w:r>
            <w:r>
              <w:rPr>
                <w:rFonts w:hint="eastAsia" w:ascii="宋体" w:hAnsi="宋体"/>
                <w:sz w:val="24"/>
              </w:rPr>
              <w:t>。</w:t>
            </w:r>
          </w:p>
        </w:tc>
        <w:tc>
          <w:tcPr>
            <w:tcW w:w="450" w:type="pct"/>
            <w:tcBorders>
              <w:bottom w:val="single" w:color="auto" w:sz="4" w:space="0"/>
            </w:tcBorders>
            <w:vAlign w:val="center"/>
          </w:tcPr>
          <w:p>
            <w:pPr>
              <w:jc w:val="center"/>
              <w:rPr>
                <w:rFonts w:ascii="宋体" w:hAnsi="宋体"/>
                <w:sz w:val="24"/>
              </w:rPr>
            </w:pPr>
            <w:r>
              <w:rPr>
                <w:rFonts w:hint="eastAsia" w:ascii="宋体" w:hAnsi="宋体"/>
                <w:sz w:val="24"/>
              </w:rPr>
              <w:t>4</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461" w:type="pct"/>
            <w:vMerge w:val="restart"/>
            <w:vAlign w:val="center"/>
          </w:tcPr>
          <w:p>
            <w:pPr>
              <w:jc w:val="center"/>
              <w:rPr>
                <w:rFonts w:ascii="宋体" w:hAnsi="宋体"/>
                <w:sz w:val="24"/>
              </w:rPr>
            </w:pPr>
            <w:r>
              <w:rPr>
                <w:rFonts w:hint="eastAsia" w:ascii="宋体" w:hAnsi="宋体"/>
                <w:sz w:val="24"/>
              </w:rPr>
              <w:t>商务部分</w:t>
            </w:r>
          </w:p>
        </w:tc>
        <w:tc>
          <w:tcPr>
            <w:tcW w:w="544" w:type="pct"/>
            <w:vAlign w:val="center"/>
          </w:tcPr>
          <w:p>
            <w:pPr>
              <w:jc w:val="center"/>
              <w:rPr>
                <w:rFonts w:ascii="宋体" w:hAnsi="宋体"/>
                <w:sz w:val="24"/>
              </w:rPr>
            </w:pPr>
            <w:r>
              <w:rPr>
                <w:rFonts w:hint="eastAsia" w:ascii="宋体" w:hAnsi="宋体"/>
                <w:sz w:val="24"/>
              </w:rPr>
              <w:t>投标人业绩</w:t>
            </w:r>
          </w:p>
        </w:tc>
        <w:tc>
          <w:tcPr>
            <w:tcW w:w="3543" w:type="pct"/>
            <w:tcBorders>
              <w:top w:val="single" w:color="auto" w:sz="4" w:space="0"/>
            </w:tcBorders>
            <w:vAlign w:val="center"/>
          </w:tcPr>
          <w:p>
            <w:pPr>
              <w:jc w:val="left"/>
              <w:rPr>
                <w:rFonts w:ascii="宋体" w:hAnsi="宋体"/>
                <w:sz w:val="24"/>
              </w:rPr>
            </w:pPr>
            <w:r>
              <w:rPr>
                <w:rFonts w:hint="eastAsia" w:ascii="宋体" w:hAnsi="宋体"/>
                <w:sz w:val="24"/>
              </w:rPr>
              <w:t>投标人提供近三年（</w:t>
            </w:r>
            <w:r>
              <w:rPr>
                <w:rFonts w:ascii="宋体" w:hAnsi="宋体"/>
                <w:sz w:val="24"/>
              </w:rPr>
              <w:t>20</w:t>
            </w:r>
            <w:r>
              <w:rPr>
                <w:rFonts w:hint="eastAsia" w:ascii="宋体" w:hAnsi="宋体"/>
                <w:sz w:val="24"/>
              </w:rPr>
              <w:t>19年</w:t>
            </w:r>
            <w:r>
              <w:rPr>
                <w:rFonts w:ascii="宋体" w:hAnsi="宋体"/>
                <w:sz w:val="24"/>
              </w:rPr>
              <w:t>1月1日至今，以合同签订日期为准）相</w:t>
            </w:r>
            <w:r>
              <w:rPr>
                <w:rFonts w:hint="eastAsia" w:ascii="宋体" w:hAnsi="宋体"/>
                <w:sz w:val="24"/>
              </w:rPr>
              <w:t>似案例，每份得</w:t>
            </w:r>
            <w:r>
              <w:rPr>
                <w:rFonts w:ascii="宋体" w:hAnsi="宋体"/>
                <w:sz w:val="24"/>
              </w:rPr>
              <w:t>1分，最高</w:t>
            </w:r>
            <w:r>
              <w:rPr>
                <w:rFonts w:hint="eastAsia" w:ascii="宋体" w:hAnsi="宋体"/>
                <w:sz w:val="24"/>
              </w:rPr>
              <w:t>2</w:t>
            </w:r>
            <w:r>
              <w:rPr>
                <w:rFonts w:ascii="宋体" w:hAnsi="宋体"/>
                <w:sz w:val="24"/>
              </w:rPr>
              <w:t>分，须</w:t>
            </w:r>
            <w:r>
              <w:rPr>
                <w:rFonts w:hint="eastAsia" w:ascii="宋体" w:hAnsi="宋体"/>
                <w:sz w:val="24"/>
              </w:rPr>
              <w:t>提供合同</w:t>
            </w:r>
            <w:r>
              <w:rPr>
                <w:rFonts w:ascii="宋体" w:hAnsi="宋体"/>
                <w:sz w:val="24"/>
              </w:rPr>
              <w:t>复印件</w:t>
            </w:r>
            <w:r>
              <w:rPr>
                <w:rFonts w:hint="eastAsia" w:ascii="宋体" w:hAnsi="宋体"/>
                <w:sz w:val="24"/>
              </w:rPr>
              <w:t>(含</w:t>
            </w:r>
            <w:r>
              <w:rPr>
                <w:rFonts w:ascii="宋体" w:hAnsi="宋体"/>
                <w:sz w:val="24"/>
              </w:rPr>
              <w:t>合同首页、签字盖章页、设备清单页</w:t>
            </w:r>
            <w:r>
              <w:rPr>
                <w:rFonts w:hint="eastAsia" w:ascii="宋体" w:hAnsi="宋体"/>
                <w:sz w:val="24"/>
              </w:rPr>
              <w:t>)并</w:t>
            </w:r>
            <w:r>
              <w:rPr>
                <w:rFonts w:ascii="宋体" w:hAnsi="宋体"/>
                <w:sz w:val="24"/>
              </w:rPr>
              <w:t>加盖</w:t>
            </w:r>
            <w:r>
              <w:rPr>
                <w:rFonts w:hint="eastAsia" w:ascii="宋体" w:hAnsi="宋体"/>
                <w:sz w:val="24"/>
              </w:rPr>
              <w:t>投标人</w:t>
            </w:r>
            <w:r>
              <w:rPr>
                <w:rFonts w:ascii="宋体" w:hAnsi="宋体"/>
                <w:sz w:val="24"/>
              </w:rPr>
              <w:t>公章）。</w:t>
            </w:r>
          </w:p>
        </w:tc>
        <w:tc>
          <w:tcPr>
            <w:tcW w:w="450" w:type="pct"/>
            <w:tcBorders>
              <w:top w:val="single" w:color="auto" w:sz="4" w:space="0"/>
            </w:tcBorders>
            <w:vAlign w:val="center"/>
          </w:tcPr>
          <w:p>
            <w:pPr>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pct"/>
            <w:vMerge w:val="continue"/>
            <w:vAlign w:val="center"/>
          </w:tcPr>
          <w:p>
            <w:pPr>
              <w:jc w:val="center"/>
              <w:rPr>
                <w:rFonts w:ascii="宋体" w:hAnsi="宋体"/>
                <w:sz w:val="24"/>
              </w:rPr>
            </w:pPr>
          </w:p>
        </w:tc>
        <w:tc>
          <w:tcPr>
            <w:tcW w:w="544" w:type="pct"/>
            <w:vAlign w:val="center"/>
          </w:tcPr>
          <w:p>
            <w:pPr>
              <w:jc w:val="center"/>
              <w:rPr>
                <w:rFonts w:ascii="宋体" w:hAnsi="宋体"/>
                <w:sz w:val="24"/>
              </w:rPr>
            </w:pPr>
            <w:r>
              <w:rPr>
                <w:rFonts w:hint="eastAsia" w:ascii="宋体" w:hAnsi="宋体"/>
                <w:sz w:val="24"/>
              </w:rPr>
              <w:t>投标人能力</w:t>
            </w:r>
          </w:p>
        </w:tc>
        <w:tc>
          <w:tcPr>
            <w:tcW w:w="3543" w:type="pct"/>
            <w:tcBorders>
              <w:top w:val="single" w:color="auto" w:sz="4" w:space="0"/>
            </w:tcBorders>
            <w:vAlign w:val="center"/>
          </w:tcPr>
          <w:p>
            <w:pPr>
              <w:spacing w:line="276" w:lineRule="auto"/>
              <w:rPr>
                <w:sz w:val="24"/>
              </w:rPr>
            </w:pPr>
            <w:r>
              <w:rPr>
                <w:rFonts w:hint="eastAsia"/>
                <w:sz w:val="24"/>
              </w:rPr>
              <w:t>1、投标人具备音视频集成工程企业资质壹级证书的得0.5分，不提供不得分。</w:t>
            </w:r>
          </w:p>
          <w:p>
            <w:pPr>
              <w:spacing w:line="276" w:lineRule="auto"/>
              <w:rPr>
                <w:sz w:val="24"/>
              </w:rPr>
            </w:pPr>
            <w:r>
              <w:rPr>
                <w:rFonts w:hint="eastAsia"/>
                <w:sz w:val="24"/>
              </w:rPr>
              <w:t>2、投标人同时提供质量管理体系认证证书、环境管理体系认证证书、职业健康安全管理体系认证证书、信息安全管理体系认证证书、信息技术服务管理体系认证证书的得0.5分，少提供或不提供不得分。</w:t>
            </w:r>
          </w:p>
          <w:p>
            <w:pPr>
              <w:spacing w:line="276" w:lineRule="auto"/>
              <w:rPr>
                <w:sz w:val="24"/>
              </w:rPr>
            </w:pPr>
            <w:r>
              <w:rPr>
                <w:rFonts w:hint="eastAsia"/>
                <w:sz w:val="24"/>
              </w:rPr>
              <w:t>3、投标人具备I</w:t>
            </w:r>
            <w:r>
              <w:rPr>
                <w:sz w:val="24"/>
              </w:rPr>
              <w:t>TSS</w:t>
            </w:r>
            <w:r>
              <w:rPr>
                <w:rFonts w:hint="eastAsia"/>
                <w:sz w:val="24"/>
              </w:rPr>
              <w:t>信息技术服务标准符合性证书（业务领域：运行维护）三级或三级以上的得0.5分。不提供不得分。</w:t>
            </w:r>
          </w:p>
          <w:p>
            <w:pPr>
              <w:jc w:val="left"/>
              <w:rPr>
                <w:rFonts w:ascii="宋体" w:hAnsi="宋体"/>
                <w:sz w:val="24"/>
              </w:rPr>
            </w:pPr>
            <w:r>
              <w:rPr>
                <w:rFonts w:hint="eastAsia"/>
                <w:sz w:val="24"/>
              </w:rPr>
              <w:t>4、投标人的信息系统建设和服务能力达到C</w:t>
            </w:r>
            <w:r>
              <w:rPr>
                <w:sz w:val="24"/>
              </w:rPr>
              <w:t>S2</w:t>
            </w:r>
            <w:r>
              <w:rPr>
                <w:rFonts w:hint="eastAsia"/>
                <w:sz w:val="24"/>
              </w:rPr>
              <w:t>或以上并提供证书的，得0.5分，不提供不得分。</w:t>
            </w:r>
          </w:p>
        </w:tc>
        <w:tc>
          <w:tcPr>
            <w:tcW w:w="450" w:type="pct"/>
            <w:tcBorders>
              <w:top w:val="single" w:color="auto" w:sz="4" w:space="0"/>
            </w:tcBorders>
            <w:vAlign w:val="center"/>
          </w:tcPr>
          <w:p>
            <w:pPr>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pct"/>
            <w:vMerge w:val="restart"/>
            <w:vAlign w:val="center"/>
          </w:tcPr>
          <w:p>
            <w:pPr>
              <w:jc w:val="center"/>
              <w:rPr>
                <w:rFonts w:ascii="宋体" w:hAnsi="宋体"/>
                <w:sz w:val="24"/>
              </w:rPr>
            </w:pPr>
            <w:r>
              <w:rPr>
                <w:rFonts w:hint="eastAsia" w:ascii="宋体" w:hAnsi="宋体"/>
                <w:sz w:val="24"/>
              </w:rPr>
              <w:t>技术部分</w:t>
            </w:r>
          </w:p>
        </w:tc>
        <w:tc>
          <w:tcPr>
            <w:tcW w:w="544" w:type="pct"/>
            <w:vAlign w:val="center"/>
          </w:tcPr>
          <w:p>
            <w:pPr>
              <w:jc w:val="center"/>
              <w:rPr>
                <w:rFonts w:ascii="宋体" w:hAnsi="宋体"/>
                <w:sz w:val="24"/>
              </w:rPr>
            </w:pPr>
            <w:r>
              <w:rPr>
                <w:rFonts w:hint="eastAsia" w:ascii="宋体" w:hAnsi="宋体"/>
                <w:sz w:val="24"/>
              </w:rPr>
              <w:t>集成方案</w:t>
            </w:r>
          </w:p>
        </w:tc>
        <w:tc>
          <w:tcPr>
            <w:tcW w:w="3543" w:type="pct"/>
            <w:vAlign w:val="center"/>
          </w:tcPr>
          <w:p>
            <w:pPr>
              <w:jc w:val="left"/>
              <w:rPr>
                <w:rFonts w:ascii="宋体" w:hAnsi="宋体"/>
                <w:sz w:val="24"/>
              </w:rPr>
            </w:pPr>
            <w:r>
              <w:rPr>
                <w:rFonts w:hint="eastAsia" w:ascii="宋体" w:hAnsi="宋体"/>
                <w:sz w:val="24"/>
              </w:rPr>
              <w:t>1.集成方案符合项目特点，相关资料齐全，集成设计考虑充分，兼容性和适用性技术依据合理可行，证明材料完整齐全，得5分；</w:t>
            </w:r>
          </w:p>
          <w:p>
            <w:pPr>
              <w:jc w:val="left"/>
              <w:rPr>
                <w:rFonts w:ascii="宋体" w:hAnsi="宋体"/>
                <w:sz w:val="24"/>
              </w:rPr>
            </w:pPr>
            <w:r>
              <w:rPr>
                <w:rFonts w:hint="eastAsia" w:ascii="宋体" w:hAnsi="宋体"/>
                <w:sz w:val="24"/>
              </w:rPr>
              <w:t>2.集成方案基本完整，相关资料相对齐全，与学校相关软硬件环境和利旧产品的集成设计考虑比较充分，但表意相对欠缺的，得3分；</w:t>
            </w:r>
          </w:p>
          <w:p>
            <w:pPr>
              <w:jc w:val="left"/>
              <w:rPr>
                <w:rFonts w:ascii="宋体" w:hAnsi="宋体"/>
                <w:sz w:val="24"/>
              </w:rPr>
            </w:pPr>
            <w:r>
              <w:rPr>
                <w:rFonts w:hint="eastAsia" w:ascii="宋体" w:hAnsi="宋体"/>
                <w:sz w:val="24"/>
              </w:rPr>
              <w:t>3.有集成方案，但部分关键产品的相关内容明显缺失，或无团队配备方案的，得1分；</w:t>
            </w:r>
          </w:p>
          <w:p>
            <w:pPr>
              <w:jc w:val="left"/>
              <w:rPr>
                <w:rFonts w:ascii="宋体" w:hAnsi="宋体"/>
                <w:sz w:val="24"/>
              </w:rPr>
            </w:pPr>
            <w:r>
              <w:rPr>
                <w:rFonts w:hint="eastAsia" w:ascii="宋体" w:hAnsi="宋体"/>
                <w:sz w:val="24"/>
              </w:rPr>
              <w:t>4.集成方案过于简单或明显缺乏针对性的，得0分。</w:t>
            </w:r>
          </w:p>
        </w:tc>
        <w:tc>
          <w:tcPr>
            <w:tcW w:w="450" w:type="pct"/>
            <w:vAlign w:val="center"/>
          </w:tcPr>
          <w:p>
            <w:pPr>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pct"/>
            <w:vMerge w:val="continue"/>
            <w:vAlign w:val="center"/>
          </w:tcPr>
          <w:p>
            <w:pPr>
              <w:jc w:val="center"/>
              <w:rPr>
                <w:rFonts w:ascii="宋体" w:hAnsi="宋体"/>
                <w:sz w:val="24"/>
              </w:rPr>
            </w:pPr>
          </w:p>
        </w:tc>
        <w:tc>
          <w:tcPr>
            <w:tcW w:w="544" w:type="pct"/>
            <w:vAlign w:val="center"/>
          </w:tcPr>
          <w:p>
            <w:pPr>
              <w:jc w:val="center"/>
              <w:rPr>
                <w:rFonts w:ascii="宋体" w:hAnsi="宋体"/>
                <w:sz w:val="24"/>
              </w:rPr>
            </w:pPr>
            <w:r>
              <w:rPr>
                <w:rFonts w:hint="eastAsia" w:ascii="宋体" w:hAnsi="宋体"/>
                <w:sz w:val="24"/>
              </w:rPr>
              <w:t>项目实施方案</w:t>
            </w:r>
          </w:p>
        </w:tc>
        <w:tc>
          <w:tcPr>
            <w:tcW w:w="3543" w:type="pct"/>
            <w:vAlign w:val="center"/>
          </w:tcPr>
          <w:p>
            <w:pPr>
              <w:jc w:val="left"/>
              <w:rPr>
                <w:rFonts w:ascii="宋体" w:hAnsi="宋体"/>
                <w:sz w:val="24"/>
              </w:rPr>
            </w:pPr>
            <w:r>
              <w:rPr>
                <w:rFonts w:hint="eastAsia" w:ascii="宋体" w:hAnsi="宋体"/>
                <w:sz w:val="24"/>
              </w:rPr>
              <w:t>1.项目实施方案完整，人员安排、进度计划、文明施工、材料设备、与采购人配合、风险管理等符合项目特点和实施要求，得4分；</w:t>
            </w:r>
          </w:p>
          <w:p>
            <w:pPr>
              <w:jc w:val="left"/>
              <w:rPr>
                <w:rFonts w:ascii="宋体" w:hAnsi="宋体"/>
                <w:sz w:val="24"/>
              </w:rPr>
            </w:pPr>
            <w:r>
              <w:rPr>
                <w:rFonts w:hint="eastAsia" w:ascii="宋体" w:hAnsi="宋体"/>
                <w:sz w:val="24"/>
              </w:rPr>
              <w:t>2.项目实施方案基本完整，但部分非关键性内容不够齐全完整，或缺乏针对性，得2分；</w:t>
            </w:r>
          </w:p>
          <w:p>
            <w:pPr>
              <w:jc w:val="left"/>
              <w:rPr>
                <w:rFonts w:ascii="宋体" w:hAnsi="宋体"/>
                <w:sz w:val="24"/>
              </w:rPr>
            </w:pPr>
            <w:r>
              <w:rPr>
                <w:rFonts w:hint="eastAsia" w:ascii="宋体" w:hAnsi="宋体"/>
                <w:sz w:val="24"/>
              </w:rPr>
              <w:t>3.有项目实施方案，但部分项目的关键内容明显缺失或与项目要求不一致，或明显缺乏针对性，</w:t>
            </w:r>
            <w:r>
              <w:rPr>
                <w:rFonts w:hint="eastAsia"/>
                <w:sz w:val="24"/>
              </w:rPr>
              <w:t>或存在与项目需求不一致的内容的，</w:t>
            </w:r>
            <w:r>
              <w:rPr>
                <w:rFonts w:hint="eastAsia" w:ascii="宋体" w:hAnsi="宋体"/>
                <w:sz w:val="24"/>
              </w:rPr>
              <w:t>得1分；</w:t>
            </w:r>
          </w:p>
          <w:p>
            <w:pPr>
              <w:jc w:val="left"/>
              <w:rPr>
                <w:rFonts w:ascii="宋体" w:hAnsi="宋体"/>
                <w:sz w:val="24"/>
              </w:rPr>
            </w:pPr>
            <w:r>
              <w:rPr>
                <w:rFonts w:hint="eastAsia" w:ascii="宋体" w:hAnsi="宋体"/>
                <w:sz w:val="24"/>
              </w:rPr>
              <w:t>4.施工组织方案过于简单或</w:t>
            </w:r>
            <w:r>
              <w:rPr>
                <w:rFonts w:hint="eastAsia"/>
                <w:sz w:val="24"/>
              </w:rPr>
              <w:t>与项目实际需求明显不对应的</w:t>
            </w:r>
            <w:r>
              <w:rPr>
                <w:rFonts w:hint="eastAsia" w:ascii="宋体" w:hAnsi="宋体"/>
                <w:sz w:val="24"/>
              </w:rPr>
              <w:t>，得0分。</w:t>
            </w:r>
          </w:p>
        </w:tc>
        <w:tc>
          <w:tcPr>
            <w:tcW w:w="450" w:type="pct"/>
            <w:vAlign w:val="center"/>
          </w:tcPr>
          <w:p>
            <w:pPr>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pct"/>
            <w:vMerge w:val="continue"/>
            <w:vAlign w:val="center"/>
          </w:tcPr>
          <w:p>
            <w:pPr>
              <w:jc w:val="center"/>
              <w:rPr>
                <w:rFonts w:ascii="宋体" w:hAnsi="宋体"/>
                <w:sz w:val="24"/>
                <w:highlight w:val="none"/>
              </w:rPr>
            </w:pPr>
          </w:p>
        </w:tc>
        <w:tc>
          <w:tcPr>
            <w:tcW w:w="544" w:type="pct"/>
            <w:vAlign w:val="center"/>
          </w:tcPr>
          <w:p>
            <w:pPr>
              <w:jc w:val="center"/>
              <w:rPr>
                <w:rFonts w:ascii="宋体" w:hAnsi="宋体"/>
                <w:sz w:val="24"/>
                <w:highlight w:val="none"/>
              </w:rPr>
            </w:pPr>
            <w:r>
              <w:rPr>
                <w:rFonts w:hint="eastAsia" w:ascii="宋体" w:hAnsi="宋体"/>
                <w:sz w:val="24"/>
                <w:highlight w:val="none"/>
              </w:rPr>
              <w:t>产品选型方案</w:t>
            </w:r>
          </w:p>
        </w:tc>
        <w:tc>
          <w:tcPr>
            <w:tcW w:w="3543" w:type="pct"/>
            <w:vAlign w:val="center"/>
          </w:tcPr>
          <w:p>
            <w:pPr>
              <w:jc w:val="left"/>
              <w:rPr>
                <w:rFonts w:ascii="宋体" w:hAnsi="宋体"/>
                <w:sz w:val="24"/>
                <w:highlight w:val="none"/>
              </w:rPr>
            </w:pPr>
            <w:r>
              <w:rPr>
                <w:rFonts w:hint="eastAsia" w:ascii="宋体" w:hAnsi="宋体"/>
                <w:sz w:val="24"/>
                <w:highlight w:val="none"/>
              </w:rPr>
              <w:t>1.设备选型符合项目特点，选型依据充分，证明材料完整齐全，充分考虑兼容性，有相关证明材料，得3分；</w:t>
            </w:r>
          </w:p>
          <w:p>
            <w:pPr>
              <w:jc w:val="left"/>
              <w:rPr>
                <w:rFonts w:ascii="宋体" w:hAnsi="宋体"/>
                <w:sz w:val="24"/>
                <w:highlight w:val="none"/>
              </w:rPr>
            </w:pPr>
            <w:r>
              <w:rPr>
                <w:rFonts w:hint="eastAsia" w:ascii="宋体" w:hAnsi="宋体"/>
                <w:sz w:val="24"/>
                <w:highlight w:val="none"/>
              </w:rPr>
              <w:t>2.设备选型符合项目特点，证明材料比较完整，但产品兼容性依据不充分得2分；</w:t>
            </w:r>
          </w:p>
          <w:p>
            <w:pPr>
              <w:jc w:val="left"/>
              <w:rPr>
                <w:rFonts w:ascii="宋体" w:hAnsi="宋体"/>
                <w:sz w:val="24"/>
                <w:highlight w:val="none"/>
              </w:rPr>
            </w:pPr>
            <w:r>
              <w:rPr>
                <w:rFonts w:hint="eastAsia" w:ascii="宋体" w:hAnsi="宋体"/>
                <w:sz w:val="24"/>
                <w:highlight w:val="none"/>
              </w:rPr>
              <w:t>3.有产品选型方案，但部分关键产品的相关内容明显缺失，得1分；</w:t>
            </w:r>
          </w:p>
          <w:p>
            <w:pPr>
              <w:jc w:val="left"/>
              <w:rPr>
                <w:rFonts w:ascii="宋体" w:hAnsi="宋体"/>
                <w:sz w:val="24"/>
                <w:highlight w:val="none"/>
              </w:rPr>
            </w:pPr>
            <w:r>
              <w:rPr>
                <w:rFonts w:hint="eastAsia" w:ascii="宋体" w:hAnsi="宋体"/>
                <w:sz w:val="24"/>
                <w:highlight w:val="none"/>
              </w:rPr>
              <w:t>4.产品选型方案过于简单或明显缺乏针对性的，得0分。</w:t>
            </w:r>
          </w:p>
        </w:tc>
        <w:tc>
          <w:tcPr>
            <w:tcW w:w="450" w:type="pct"/>
            <w:vAlign w:val="center"/>
          </w:tcPr>
          <w:p>
            <w:pPr>
              <w:widowControl/>
              <w:jc w:val="center"/>
              <w:rPr>
                <w:rFonts w:ascii="宋体" w:hAnsi="宋体"/>
                <w:sz w:val="24"/>
                <w:highlight w:val="none"/>
              </w:rPr>
            </w:pPr>
            <w:r>
              <w:rPr>
                <w:rFonts w:hint="eastAsia" w:ascii="宋体" w:hAnsi="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1" w:type="pct"/>
            <w:vMerge w:val="continue"/>
            <w:vAlign w:val="center"/>
          </w:tcPr>
          <w:p>
            <w:pPr>
              <w:jc w:val="center"/>
              <w:rPr>
                <w:rFonts w:ascii="宋体" w:hAnsi="宋体"/>
                <w:sz w:val="24"/>
                <w:highlight w:val="none"/>
              </w:rPr>
            </w:pPr>
          </w:p>
        </w:tc>
        <w:tc>
          <w:tcPr>
            <w:tcW w:w="544" w:type="pct"/>
            <w:vAlign w:val="center"/>
          </w:tcPr>
          <w:p>
            <w:pPr>
              <w:jc w:val="center"/>
              <w:rPr>
                <w:rFonts w:ascii="宋体" w:hAnsi="宋体"/>
                <w:sz w:val="24"/>
                <w:highlight w:val="none"/>
              </w:rPr>
            </w:pPr>
            <w:r>
              <w:rPr>
                <w:rFonts w:hint="eastAsia" w:ascii="宋体" w:hAnsi="宋体"/>
                <w:sz w:val="24"/>
                <w:highlight w:val="none"/>
              </w:rPr>
              <w:t>技术指标响应程度</w:t>
            </w:r>
          </w:p>
        </w:tc>
        <w:tc>
          <w:tcPr>
            <w:tcW w:w="3543" w:type="pct"/>
            <w:vAlign w:val="center"/>
          </w:tcPr>
          <w:p>
            <w:pPr>
              <w:jc w:val="left"/>
              <w:rPr>
                <w:rFonts w:ascii="宋体" w:hAnsi="宋体" w:cs="宋体"/>
                <w:sz w:val="24"/>
                <w:highlight w:val="none"/>
              </w:rPr>
            </w:pPr>
            <w:r>
              <w:rPr>
                <w:rFonts w:hint="eastAsia" w:ascii="宋体" w:hAnsi="宋体" w:cs="宋体"/>
                <w:sz w:val="24"/>
                <w:highlight w:val="none"/>
              </w:rPr>
              <w:t>根据投标产品性能指标是否符合招标文件要求及符合程度进行评价，完全响应得满分。</w:t>
            </w:r>
          </w:p>
          <w:p>
            <w:pPr>
              <w:jc w:val="left"/>
              <w:rPr>
                <w:rFonts w:ascii="宋体" w:hAnsi="宋体" w:cs="宋体"/>
                <w:sz w:val="24"/>
                <w:highlight w:val="none"/>
              </w:rPr>
            </w:pPr>
            <w:r>
              <w:rPr>
                <w:rFonts w:hint="eastAsia" w:ascii="宋体" w:hAnsi="宋体" w:cs="宋体"/>
                <w:sz w:val="24"/>
                <w:highlight w:val="none"/>
              </w:rPr>
              <w:t>1.标“#”标项指标，每项负偏离扣除2分，扣完为止（须提供相关证明材料）；</w:t>
            </w:r>
          </w:p>
          <w:p>
            <w:pPr>
              <w:rPr>
                <w:highlight w:val="none"/>
              </w:rPr>
            </w:pPr>
            <w:r>
              <w:rPr>
                <w:rFonts w:hint="eastAsia" w:ascii="宋体" w:hAnsi="宋体" w:cs="宋体"/>
                <w:sz w:val="24"/>
                <w:highlight w:val="none"/>
              </w:rPr>
              <w:t>2.其它指标每项负偏离扣除0.5分，扣完为止。</w:t>
            </w:r>
          </w:p>
        </w:tc>
        <w:tc>
          <w:tcPr>
            <w:tcW w:w="450" w:type="pct"/>
            <w:vAlign w:val="center"/>
          </w:tcPr>
          <w:p>
            <w:pPr>
              <w:jc w:val="center"/>
              <w:rPr>
                <w:rFonts w:ascii="宋体" w:hAnsi="宋体"/>
                <w:sz w:val="24"/>
                <w:highlight w:val="none"/>
              </w:rPr>
            </w:pPr>
            <w:r>
              <w:rPr>
                <w:rFonts w:hint="eastAsia" w:ascii="宋体" w:hAnsi="宋体"/>
                <w:sz w:val="24"/>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1" w:type="pct"/>
            <w:vMerge w:val="continue"/>
            <w:vAlign w:val="center"/>
          </w:tcPr>
          <w:p>
            <w:pPr>
              <w:jc w:val="center"/>
              <w:rPr>
                <w:rFonts w:ascii="宋体" w:hAnsi="宋体"/>
                <w:sz w:val="24"/>
                <w:highlight w:val="none"/>
              </w:rPr>
            </w:pPr>
          </w:p>
        </w:tc>
        <w:tc>
          <w:tcPr>
            <w:tcW w:w="544" w:type="pct"/>
            <w:vAlign w:val="center"/>
          </w:tcPr>
          <w:p>
            <w:pPr>
              <w:jc w:val="center"/>
              <w:rPr>
                <w:rFonts w:ascii="宋体" w:hAnsi="宋体"/>
                <w:sz w:val="24"/>
                <w:highlight w:val="none"/>
              </w:rPr>
            </w:pPr>
            <w:r>
              <w:rPr>
                <w:rFonts w:hint="eastAsia" w:ascii="宋体" w:hAnsi="宋体"/>
                <w:sz w:val="24"/>
                <w:highlight w:val="none"/>
              </w:rPr>
              <w:t>技术参数演示</w:t>
            </w:r>
          </w:p>
        </w:tc>
        <w:tc>
          <w:tcPr>
            <w:tcW w:w="3543" w:type="pct"/>
            <w:vAlign w:val="center"/>
          </w:tcPr>
          <w:p>
            <w:pPr>
              <w:rPr>
                <w:rFonts w:ascii="宋体" w:hAnsi="宋体" w:cs="宋体"/>
                <w:sz w:val="24"/>
                <w:highlight w:val="none"/>
              </w:rPr>
            </w:pPr>
            <w:r>
              <w:rPr>
                <w:rFonts w:hint="eastAsia" w:ascii="宋体" w:hAnsi="宋体" w:cs="宋体"/>
                <w:sz w:val="24"/>
                <w:highlight w:val="none"/>
              </w:rPr>
              <w:t>投标人对技术参数中“</w:t>
            </w:r>
            <w:r>
              <w:rPr>
                <w:rFonts w:hint="eastAsia" w:ascii="宋体" w:hAnsi="宋体" w:cs="宋体"/>
                <w:color w:val="000000"/>
                <w:kern w:val="0"/>
                <w:sz w:val="24"/>
                <w:highlight w:val="none"/>
                <w:lang w:bidi="ar"/>
              </w:rPr>
              <w:t>云管理平台</w:t>
            </w:r>
            <w:r>
              <w:rPr>
                <w:rFonts w:hint="eastAsia" w:ascii="宋体" w:hAnsi="宋体" w:cs="宋体"/>
                <w:sz w:val="24"/>
                <w:highlight w:val="none"/>
              </w:rPr>
              <w:t>”中5项“#”指标进行演示，演示内容完全响应技术需求得6分；有1项不满足得得4分；有2项不满足的得2分；有3项以上不满足不得分。（注：演示内容以腾讯会议的形式展示，投标人自行准备电脑，代理机构在演示前将会议码发投标人。）</w:t>
            </w:r>
          </w:p>
        </w:tc>
        <w:tc>
          <w:tcPr>
            <w:tcW w:w="450" w:type="pct"/>
            <w:vAlign w:val="center"/>
          </w:tcPr>
          <w:p>
            <w:pPr>
              <w:jc w:val="center"/>
              <w:rPr>
                <w:rFonts w:ascii="宋体" w:hAnsi="宋体"/>
                <w:sz w:val="24"/>
                <w:highlight w:val="none"/>
              </w:rPr>
            </w:pPr>
            <w:r>
              <w:rPr>
                <w:rFonts w:hint="eastAsia" w:ascii="宋体" w:hAnsi="宋体"/>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461" w:type="pct"/>
            <w:vMerge w:val="restart"/>
            <w:vAlign w:val="center"/>
          </w:tcPr>
          <w:p>
            <w:pPr>
              <w:jc w:val="center"/>
              <w:rPr>
                <w:rFonts w:ascii="宋体" w:hAnsi="宋体"/>
                <w:sz w:val="24"/>
              </w:rPr>
            </w:pPr>
            <w:r>
              <w:rPr>
                <w:rFonts w:ascii="宋体" w:hAnsi="宋体"/>
                <w:sz w:val="24"/>
              </w:rPr>
              <w:t>售后服务</w:t>
            </w:r>
          </w:p>
        </w:tc>
        <w:tc>
          <w:tcPr>
            <w:tcW w:w="4087" w:type="pct"/>
            <w:gridSpan w:val="2"/>
            <w:vAlign w:val="center"/>
          </w:tcPr>
          <w:p>
            <w:pPr>
              <w:jc w:val="left"/>
              <w:rPr>
                <w:rFonts w:ascii="宋体" w:hAnsi="宋体"/>
                <w:sz w:val="24"/>
              </w:rPr>
            </w:pPr>
            <w:r>
              <w:rPr>
                <w:rFonts w:hint="eastAsia" w:ascii="宋体" w:hAnsi="宋体"/>
                <w:sz w:val="24"/>
              </w:rPr>
              <w:t>培训方案（</w:t>
            </w:r>
            <w:r>
              <w:rPr>
                <w:rFonts w:hint="eastAsia" w:ascii="宋体" w:hAnsi="宋体"/>
                <w:sz w:val="24"/>
                <w:lang w:val="en-US" w:eastAsia="zh-CN"/>
              </w:rPr>
              <w:t>2</w:t>
            </w:r>
            <w:r>
              <w:rPr>
                <w:rFonts w:hint="eastAsia" w:ascii="宋体" w:hAnsi="宋体"/>
                <w:sz w:val="24"/>
              </w:rPr>
              <w:t>分）：投标人提供培训方案，培训方案详细，满足用户要求得2分，培训方案较详细，基本满足用户要求得1分，培训方案不详细或未提供得0分。</w:t>
            </w:r>
          </w:p>
        </w:tc>
        <w:tc>
          <w:tcPr>
            <w:tcW w:w="450" w:type="pct"/>
            <w:vAlign w:val="center"/>
          </w:tcPr>
          <w:p>
            <w:pPr>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61" w:type="pct"/>
            <w:vMerge w:val="continue"/>
            <w:vAlign w:val="center"/>
          </w:tcPr>
          <w:p>
            <w:pPr>
              <w:jc w:val="center"/>
              <w:rPr>
                <w:rFonts w:ascii="宋体" w:hAnsi="宋体"/>
                <w:sz w:val="24"/>
              </w:rPr>
            </w:pPr>
          </w:p>
        </w:tc>
        <w:tc>
          <w:tcPr>
            <w:tcW w:w="4087" w:type="pct"/>
            <w:gridSpan w:val="2"/>
            <w:vAlign w:val="center"/>
          </w:tcPr>
          <w:p>
            <w:pPr>
              <w:jc w:val="left"/>
              <w:rPr>
                <w:rFonts w:ascii="宋体" w:hAnsi="宋体"/>
                <w:sz w:val="24"/>
              </w:rPr>
            </w:pPr>
            <w:r>
              <w:rPr>
                <w:rFonts w:hint="eastAsia" w:ascii="宋体" w:hAnsi="宋体"/>
                <w:sz w:val="24"/>
              </w:rPr>
              <w:t>对投标人提供的售后服务方案的完整性、合理性、售后技术支持等进行综合评价。方案完整、合理且优于招标要求得2分；方案的完整性、合理性一般得1分；方案的完整性、合理性较差的得0分。</w:t>
            </w:r>
          </w:p>
        </w:tc>
        <w:tc>
          <w:tcPr>
            <w:tcW w:w="450" w:type="pct"/>
            <w:vAlign w:val="center"/>
          </w:tcPr>
          <w:p>
            <w:pPr>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61" w:type="pct"/>
            <w:vAlign w:val="center"/>
          </w:tcPr>
          <w:p>
            <w:pPr>
              <w:jc w:val="center"/>
              <w:rPr>
                <w:rFonts w:ascii="宋体" w:hAnsi="宋体"/>
                <w:sz w:val="24"/>
              </w:rPr>
            </w:pPr>
            <w:r>
              <w:rPr>
                <w:rFonts w:hint="eastAsia" w:ascii="宋体" w:hAnsi="宋体"/>
                <w:sz w:val="24"/>
              </w:rPr>
              <w:t>法规政策</w:t>
            </w:r>
          </w:p>
        </w:tc>
        <w:tc>
          <w:tcPr>
            <w:tcW w:w="4087" w:type="pct"/>
            <w:gridSpan w:val="2"/>
            <w:vAlign w:val="center"/>
          </w:tcPr>
          <w:p>
            <w:pPr>
              <w:snapToGrid w:val="0"/>
              <w:jc w:val="left"/>
              <w:rPr>
                <w:rFonts w:cs="Calibri"/>
                <w:sz w:val="24"/>
              </w:rPr>
            </w:pPr>
            <w:r>
              <w:rPr>
                <w:rFonts w:cs="Calibri"/>
                <w:sz w:val="24"/>
              </w:rPr>
              <w:t>投标产品中每有一项品目清单范围内属于优先采购节能产品的（须提供国家确定的认证机构出具的、处于有效期之内的节能产品认证证书复印件）加0.</w:t>
            </w:r>
            <w:r>
              <w:rPr>
                <w:rFonts w:hint="eastAsia" w:cs="Calibri"/>
                <w:sz w:val="24"/>
              </w:rPr>
              <w:t>2</w:t>
            </w:r>
            <w:r>
              <w:rPr>
                <w:rFonts w:cs="Calibri"/>
                <w:sz w:val="24"/>
              </w:rPr>
              <w:t>分，最多加</w:t>
            </w:r>
            <w:r>
              <w:rPr>
                <w:rFonts w:hint="eastAsia" w:cs="Calibri"/>
                <w:sz w:val="24"/>
              </w:rPr>
              <w:t>0.5</w:t>
            </w:r>
            <w:r>
              <w:rPr>
                <w:rFonts w:cs="Calibri"/>
                <w:sz w:val="24"/>
              </w:rPr>
              <w:t>分，否则不加分。</w:t>
            </w:r>
          </w:p>
          <w:p>
            <w:pPr>
              <w:jc w:val="left"/>
              <w:rPr>
                <w:rFonts w:cs="Calibri"/>
                <w:sz w:val="24"/>
              </w:rPr>
            </w:pPr>
            <w:r>
              <w:rPr>
                <w:rFonts w:cs="Calibri"/>
                <w:sz w:val="24"/>
              </w:rPr>
              <w:t>投标产品中每有一项品目清单范围内属于优先采购环境标志产品的（须提供国家确定的认证机构出具的、处于有效期之内的环境标志产品认证证书复印件）加0.</w:t>
            </w:r>
            <w:r>
              <w:rPr>
                <w:rFonts w:hint="eastAsia" w:cs="Calibri"/>
                <w:sz w:val="24"/>
              </w:rPr>
              <w:t>2</w:t>
            </w:r>
            <w:r>
              <w:rPr>
                <w:rFonts w:cs="Calibri"/>
                <w:sz w:val="24"/>
              </w:rPr>
              <w:t>分，最多加</w:t>
            </w:r>
            <w:r>
              <w:rPr>
                <w:rFonts w:hint="eastAsia" w:cs="Calibri"/>
                <w:sz w:val="24"/>
              </w:rPr>
              <w:t>0.5</w:t>
            </w:r>
            <w:r>
              <w:rPr>
                <w:rFonts w:cs="Calibri"/>
                <w:sz w:val="24"/>
              </w:rPr>
              <w:t>分，否则不加分。</w:t>
            </w:r>
          </w:p>
          <w:p>
            <w:pPr>
              <w:jc w:val="left"/>
              <w:rPr>
                <w:rFonts w:ascii="宋体" w:hAnsi="宋体"/>
                <w:sz w:val="24"/>
              </w:rPr>
            </w:pPr>
            <w:r>
              <w:rPr>
                <w:rFonts w:cs="Calibri"/>
                <w:sz w:val="24"/>
              </w:rPr>
              <w:t>注：以上复印件均需加盖本单位公章；属于政府强制采购节能产品的不加分。</w:t>
            </w:r>
          </w:p>
        </w:tc>
        <w:tc>
          <w:tcPr>
            <w:tcW w:w="450" w:type="pct"/>
            <w:vAlign w:val="center"/>
          </w:tcPr>
          <w:p>
            <w:pPr>
              <w:jc w:val="center"/>
              <w:rPr>
                <w:rFonts w:ascii="宋体" w:hAnsi="宋体"/>
                <w:sz w:val="24"/>
              </w:rPr>
            </w:pPr>
            <w:r>
              <w:rPr>
                <w:rFonts w:hint="eastAsia" w:ascii="宋体" w:hAnsi="宋体"/>
                <w:sz w:val="24"/>
              </w:rPr>
              <w:t>1</w:t>
            </w:r>
          </w:p>
        </w:tc>
      </w:tr>
    </w:tbl>
    <w:p>
      <w:pPr>
        <w:spacing w:line="360" w:lineRule="auto"/>
        <w:rPr>
          <w:rFonts w:ascii="宋体" w:hAnsi="宋体"/>
        </w:rPr>
      </w:pPr>
    </w:p>
    <w:p>
      <w:pPr>
        <w:spacing w:line="360" w:lineRule="auto"/>
        <w:rPr>
          <w:rFonts w:ascii="宋体" w:hAnsi="宋体"/>
        </w:rPr>
      </w:pPr>
      <w:r>
        <w:rPr>
          <w:rFonts w:hint="eastAsia" w:ascii="宋体" w:hAnsi="宋体"/>
        </w:rPr>
        <w:t>注：(1)a.如投标人为小型、微型企业，对其所投货物为小型和微型企业产品的价格给予10%的扣除，用扣除后的价格参与评审； b.投标人应在投标分项报价表中明示具体哪项产品属于小型和微型企业产品，列明单价及小型和微型产品总价，并如实按照附件格式要求填写“中小企业声明函”，并对声明的真实性负责；c.对未在分项报价表中列明或未按招标文件要求填写“中小企业声明函”或分项报价表与“中小企业声明函”内容不一致的，在价格评审时不予考虑。</w:t>
      </w:r>
    </w:p>
    <w:p>
      <w:pPr>
        <w:spacing w:line="360" w:lineRule="auto"/>
        <w:rPr>
          <w:rFonts w:ascii="宋体" w:hAnsi="宋体"/>
        </w:rPr>
      </w:pPr>
      <w:r>
        <w:rPr>
          <w:rFonts w:hint="eastAsia" w:ascii="宋体" w:hAnsi="宋体"/>
        </w:rPr>
        <w:t>(2) 监狱企业视同小型、微型企业, 监狱企业应当提供由省级以上监狱管理局、戒毒管理局(含新疆生产建设兵团)出具的属于监狱企业的证明文件。北京市监狱企业应当提供市监狱管理局、市教育矫治局出具的监狱企业的证明文件。</w:t>
      </w:r>
    </w:p>
    <w:p>
      <w:pPr>
        <w:spacing w:line="360" w:lineRule="auto"/>
        <w:rPr>
          <w:rFonts w:ascii="宋体" w:hAnsi="宋体"/>
        </w:rPr>
      </w:pPr>
      <w:r>
        <w:rPr>
          <w:rFonts w:hint="eastAsia" w:ascii="宋体" w:hAnsi="宋体"/>
        </w:rPr>
        <w:t>（3）残疾人福利性单位视同小型、微型企业，符合条件的残疾人福利性单位应按照《财政部 民政部 中国残疾人联合会关于促进残疾人就业政府采购政策的通知》的规定提供《残疾人福利性单位声明函》（后附），并对声明的真实性负责。</w:t>
      </w:r>
    </w:p>
    <w:p>
      <w:pPr>
        <w:spacing w:line="360" w:lineRule="auto"/>
        <w:rPr>
          <w:rFonts w:ascii="宋体" w:hAnsi="宋体"/>
        </w:rPr>
      </w:pPr>
      <w:r>
        <w:rPr>
          <w:rFonts w:hint="eastAsia" w:ascii="宋体" w:hAnsi="宋体"/>
        </w:rPr>
        <w:t>（4）依据《财政部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pPr>
        <w:spacing w:line="360" w:lineRule="auto"/>
        <w:rPr>
          <w:rFonts w:ascii="宋体" w:hAnsi="宋体"/>
        </w:rPr>
      </w:pPr>
      <w:r>
        <w:rPr>
          <w:rFonts w:hint="eastAsia" w:ascii="宋体" w:hAnsi="宋体"/>
        </w:rPr>
        <w:t>一、如采购的产品属于强制采购的，投标人必须为投标产品出具由国家确定的认证机构出具的、处于有效期之内的认证证书，否则其投标将被视为无效投标。</w:t>
      </w:r>
    </w:p>
    <w:p>
      <w:pPr>
        <w:spacing w:line="360" w:lineRule="auto"/>
        <w:rPr>
          <w:rFonts w:ascii="宋体" w:hAnsi="宋体"/>
        </w:rPr>
      </w:pPr>
      <w:r>
        <w:rPr>
          <w:rFonts w:hint="eastAsia" w:ascii="宋体" w:hAnsi="宋体"/>
        </w:rPr>
        <w:t>二、如采购的产品属于优先采购的，投标人可以为投标产品出具由国家确定的认证机构出具的、处于有效期之内的认证证书，在评审时作加分因素。</w:t>
      </w:r>
    </w:p>
    <w:p>
      <w:pPr>
        <w:spacing w:line="360" w:lineRule="auto"/>
        <w:rPr>
          <w:rFonts w:ascii="宋体" w:hAnsi="宋体"/>
        </w:rPr>
      </w:pPr>
      <w:r>
        <w:rPr>
          <w:rFonts w:hint="eastAsia" w:ascii="宋体" w:hAnsi="宋体"/>
        </w:rPr>
        <w:t>三、节能产品政府采购品目清单及环境标志产品政府采购品目清单，投标人可在“中国政府采购网”相关栏目中查询。</w:t>
      </w:r>
    </w:p>
    <w:p>
      <w:pPr>
        <w:spacing w:line="360" w:lineRule="auto"/>
        <w:rPr>
          <w:rFonts w:hAnsi="宋体"/>
          <w:bCs/>
          <w:kern w:val="44"/>
          <w:sz w:val="24"/>
          <w:lang w:val="zh-CN"/>
        </w:rPr>
        <w:sectPr>
          <w:footerReference r:id="rId7" w:type="first"/>
          <w:pgSz w:w="11907" w:h="16840"/>
          <w:pgMar w:top="1560" w:right="1591" w:bottom="1089" w:left="1276" w:header="851" w:footer="1117" w:gutter="0"/>
          <w:cols w:space="720" w:num="1"/>
          <w:titlePg/>
          <w:docGrid w:linePitch="312" w:charSpace="0"/>
        </w:sectPr>
      </w:pPr>
    </w:p>
    <w:p>
      <w:pPr>
        <w:pStyle w:val="3"/>
        <w:spacing w:line="360" w:lineRule="auto"/>
        <w:rPr>
          <w:lang w:val="en-US"/>
        </w:rPr>
      </w:pPr>
      <w:bookmarkStart w:id="308" w:name="_Toc21926"/>
      <w:bookmarkStart w:id="309" w:name="_Toc4467"/>
      <w:bookmarkStart w:id="310" w:name="_Toc39839383"/>
      <w:r>
        <w:rPr>
          <w:rFonts w:hint="eastAsia"/>
        </w:rPr>
        <w:t>第</w:t>
      </w:r>
      <w:r>
        <w:rPr>
          <w:rFonts w:hint="eastAsia"/>
          <w:lang w:val="en-US"/>
        </w:rPr>
        <w:t>六</w:t>
      </w:r>
      <w:r>
        <w:rPr>
          <w:rFonts w:hint="eastAsia"/>
        </w:rPr>
        <w:t xml:space="preserve">章 </w:t>
      </w:r>
      <w:r>
        <w:rPr>
          <w:rFonts w:hint="eastAsia"/>
          <w:lang w:val="en-US"/>
        </w:rPr>
        <w:t xml:space="preserve"> 合同格式</w:t>
      </w:r>
      <w:bookmarkEnd w:id="308"/>
      <w:bookmarkEnd w:id="309"/>
      <w:bookmarkEnd w:id="310"/>
    </w:p>
    <w:p>
      <w:pPr>
        <w:pStyle w:val="9"/>
        <w:jc w:val="center"/>
      </w:pPr>
      <w:bookmarkStart w:id="311" w:name="_Toc466997485"/>
      <w:r>
        <w:rPr>
          <w:rFonts w:hAnsi="宋体"/>
          <w:color w:val="000000"/>
        </w:rPr>
        <w:t>(此为参考版本，以实际签订为准)</w:t>
      </w:r>
    </w:p>
    <w:p>
      <w:pPr>
        <w:adjustRightInd w:val="0"/>
        <w:snapToGrid w:val="0"/>
        <w:spacing w:line="360" w:lineRule="auto"/>
        <w:rPr>
          <w:rFonts w:ascii="宋体"/>
          <w:sz w:val="24"/>
          <w:szCs w:val="20"/>
          <w:u w:val="single"/>
        </w:rPr>
      </w:pPr>
    </w:p>
    <w:p>
      <w:pPr>
        <w:spacing w:line="300" w:lineRule="auto"/>
        <w:ind w:right="360"/>
        <w:jc w:val="right"/>
        <w:rPr>
          <w:rFonts w:ascii="宋体"/>
          <w:szCs w:val="20"/>
        </w:rPr>
      </w:pPr>
    </w:p>
    <w:p>
      <w:pPr>
        <w:spacing w:line="360" w:lineRule="auto"/>
        <w:jc w:val="center"/>
        <w:rPr>
          <w:b/>
          <w:sz w:val="28"/>
          <w:szCs w:val="28"/>
        </w:rPr>
      </w:pPr>
      <w:r>
        <w:rPr>
          <w:rFonts w:hint="eastAsia" w:ascii="宋体" w:hAnsi="宋体"/>
          <w:b/>
          <w:sz w:val="44"/>
          <w:szCs w:val="28"/>
        </w:rPr>
        <w:t>华北电力大学采购合同模板</w:t>
      </w:r>
    </w:p>
    <w:p>
      <w:pPr>
        <w:pStyle w:val="10"/>
        <w:rPr>
          <w:b/>
          <w:sz w:val="28"/>
          <w:szCs w:val="28"/>
        </w:rPr>
      </w:pPr>
    </w:p>
    <w:p>
      <w:pPr>
        <w:spacing w:line="360" w:lineRule="auto"/>
        <w:jc w:val="center"/>
        <w:rPr>
          <w:rFonts w:ascii="宋体"/>
          <w:b/>
          <w:sz w:val="44"/>
          <w:szCs w:val="28"/>
        </w:rPr>
      </w:pPr>
      <w:r>
        <w:rPr>
          <w:rFonts w:hint="eastAsia" w:ascii="宋体"/>
          <w:b/>
          <w:sz w:val="44"/>
          <w:szCs w:val="28"/>
        </w:rPr>
        <w:t>(货物类)</w:t>
      </w:r>
    </w:p>
    <w:p>
      <w:pPr>
        <w:pStyle w:val="10"/>
        <w:rPr>
          <w:b/>
          <w:sz w:val="28"/>
          <w:szCs w:val="28"/>
        </w:rPr>
      </w:pPr>
    </w:p>
    <w:p>
      <w:pPr>
        <w:pStyle w:val="9"/>
      </w:pPr>
    </w:p>
    <w:p>
      <w:pPr>
        <w:spacing w:line="360" w:lineRule="auto"/>
        <w:rPr>
          <w:rFonts w:ascii="宋体" w:hAnsi="宋体"/>
          <w:sz w:val="24"/>
        </w:rPr>
      </w:pPr>
      <w:r>
        <w:rPr>
          <w:rFonts w:ascii="宋体" w:hAnsi="宋体"/>
          <w:sz w:val="24"/>
        </w:rPr>
        <w:t>合同编号：</w:t>
      </w:r>
    </w:p>
    <w:p>
      <w:pPr>
        <w:pStyle w:val="5"/>
        <w:spacing w:line="360" w:lineRule="auto"/>
        <w:ind w:firstLine="480"/>
      </w:pPr>
    </w:p>
    <w:p>
      <w:pPr>
        <w:spacing w:line="360" w:lineRule="auto"/>
        <w:rPr>
          <w:rFonts w:ascii="宋体" w:hAnsi="宋体"/>
          <w:sz w:val="24"/>
        </w:rPr>
      </w:pPr>
    </w:p>
    <w:p>
      <w:pPr>
        <w:spacing w:line="360" w:lineRule="auto"/>
        <w:rPr>
          <w:rFonts w:ascii="宋体" w:hAnsi="宋体"/>
          <w:sz w:val="24"/>
        </w:rPr>
      </w:pPr>
      <w:r>
        <w:rPr>
          <w:rFonts w:ascii="宋体" w:hAnsi="宋体"/>
          <w:sz w:val="24"/>
        </w:rPr>
        <w:t>项目名称：</w:t>
      </w:r>
    </w:p>
    <w:p>
      <w:pPr>
        <w:spacing w:line="360" w:lineRule="auto"/>
        <w:ind w:left="960" w:firstLine="300" w:firstLineChars="125"/>
        <w:rPr>
          <w:rFonts w:ascii="宋体" w:hAnsi="宋体"/>
          <w:sz w:val="24"/>
        </w:rPr>
      </w:pPr>
    </w:p>
    <w:p>
      <w:pPr>
        <w:spacing w:line="360" w:lineRule="auto"/>
        <w:rPr>
          <w:rFonts w:ascii="宋体" w:hAnsi="宋体"/>
          <w:sz w:val="24"/>
          <w:u w:val="single"/>
        </w:rPr>
      </w:pPr>
      <w:r>
        <w:rPr>
          <w:rFonts w:hint="eastAsia" w:ascii="宋体" w:hAnsi="宋体"/>
          <w:sz w:val="24"/>
        </w:rPr>
        <w:t>货物</w:t>
      </w:r>
      <w:r>
        <w:rPr>
          <w:rFonts w:ascii="宋体" w:hAnsi="宋体"/>
          <w:sz w:val="24"/>
        </w:rPr>
        <w:t>名称：</w:t>
      </w:r>
    </w:p>
    <w:p>
      <w:pPr>
        <w:spacing w:line="360" w:lineRule="auto"/>
        <w:ind w:left="960" w:firstLine="300" w:firstLineChars="125"/>
        <w:rPr>
          <w:rFonts w:ascii="宋体" w:hAnsi="宋体"/>
          <w:sz w:val="24"/>
        </w:rPr>
      </w:pPr>
    </w:p>
    <w:p>
      <w:pPr>
        <w:pStyle w:val="17"/>
        <w:spacing w:line="360" w:lineRule="auto"/>
        <w:rPr>
          <w:rFonts w:ascii="宋体" w:hAnsi="宋体"/>
          <w:sz w:val="24"/>
        </w:rPr>
      </w:pPr>
    </w:p>
    <w:p>
      <w:pPr>
        <w:pStyle w:val="17"/>
        <w:spacing w:line="360" w:lineRule="auto"/>
        <w:ind w:firstLine="300" w:firstLineChars="125"/>
        <w:rPr>
          <w:rFonts w:ascii="宋体" w:hAnsi="宋体"/>
          <w:sz w:val="24"/>
        </w:rPr>
      </w:pPr>
    </w:p>
    <w:p>
      <w:pPr>
        <w:spacing w:line="360" w:lineRule="auto"/>
        <w:rPr>
          <w:rFonts w:ascii="宋体" w:hAnsi="宋体"/>
          <w:sz w:val="24"/>
        </w:rPr>
      </w:pPr>
      <w:r>
        <w:rPr>
          <w:rFonts w:ascii="宋体" w:hAnsi="宋体"/>
          <w:sz w:val="24"/>
        </w:rPr>
        <w:t>买　　方：</w:t>
      </w:r>
    </w:p>
    <w:p>
      <w:pPr>
        <w:spacing w:line="360" w:lineRule="auto"/>
        <w:ind w:left="960" w:firstLine="300" w:firstLineChars="125"/>
        <w:rPr>
          <w:rFonts w:ascii="宋体" w:hAnsi="宋体"/>
          <w:sz w:val="24"/>
        </w:rPr>
      </w:pPr>
    </w:p>
    <w:p>
      <w:pPr>
        <w:spacing w:line="360" w:lineRule="auto"/>
        <w:rPr>
          <w:rFonts w:ascii="宋体" w:hAnsi="宋体"/>
          <w:sz w:val="24"/>
          <w:u w:val="single"/>
        </w:rPr>
      </w:pPr>
      <w:r>
        <w:rPr>
          <w:rFonts w:ascii="宋体" w:hAnsi="宋体"/>
          <w:sz w:val="24"/>
        </w:rPr>
        <w:t>卖　　方：</w:t>
      </w:r>
    </w:p>
    <w:p>
      <w:pPr>
        <w:spacing w:line="360" w:lineRule="auto"/>
        <w:ind w:firstLine="300" w:firstLineChars="125"/>
        <w:rPr>
          <w:rFonts w:ascii="宋体" w:hAnsi="宋体"/>
          <w:sz w:val="24"/>
        </w:rPr>
      </w:pPr>
    </w:p>
    <w:p>
      <w:pPr>
        <w:spacing w:line="360" w:lineRule="auto"/>
        <w:ind w:left="960"/>
        <w:jc w:val="center"/>
        <w:rPr>
          <w:rFonts w:ascii="宋体" w:hAnsi="宋体"/>
          <w:sz w:val="24"/>
        </w:rPr>
      </w:pPr>
    </w:p>
    <w:p>
      <w:pPr>
        <w:spacing w:line="360" w:lineRule="auto"/>
        <w:rPr>
          <w:rFonts w:ascii="宋体" w:hAnsi="宋体"/>
          <w:sz w:val="24"/>
          <w:u w:val="single"/>
        </w:rPr>
      </w:pPr>
      <w:r>
        <w:rPr>
          <w:rFonts w:ascii="宋体" w:hAnsi="宋体"/>
          <w:sz w:val="24"/>
        </w:rPr>
        <w:t>签署日期：</w:t>
      </w:r>
      <w:r>
        <w:rPr>
          <w:rFonts w:ascii="宋体" w:hAnsi="宋体"/>
          <w:sz w:val="24"/>
          <w:u w:val="single"/>
        </w:rPr>
        <w:t>　　　　　　　　　　　　　　　　　　</w:t>
      </w:r>
    </w:p>
    <w:p>
      <w:pPr>
        <w:spacing w:line="360" w:lineRule="auto"/>
        <w:jc w:val="center"/>
        <w:rPr>
          <w:rFonts w:ascii="宋体" w:hAnsi="宋体"/>
          <w:sz w:val="24"/>
          <w:u w:val="single"/>
        </w:rPr>
      </w:pPr>
    </w:p>
    <w:p>
      <w:pPr>
        <w:spacing w:line="360" w:lineRule="auto"/>
        <w:jc w:val="center"/>
        <w:rPr>
          <w:rFonts w:ascii="宋体" w:hAnsi="宋体"/>
          <w:sz w:val="24"/>
          <w:u w:val="single"/>
        </w:rPr>
      </w:pPr>
    </w:p>
    <w:p>
      <w:pPr>
        <w:spacing w:line="360" w:lineRule="auto"/>
        <w:jc w:val="center"/>
        <w:rPr>
          <w:rFonts w:ascii="宋体" w:hAnsi="宋体"/>
          <w:sz w:val="24"/>
          <w:u w:val="single"/>
        </w:rPr>
      </w:pPr>
      <w:r>
        <w:rPr>
          <w:rFonts w:ascii="宋体" w:hAnsi="宋体"/>
          <w:sz w:val="24"/>
          <w:u w:val="single"/>
        </w:rPr>
        <w:br w:type="page"/>
      </w:r>
    </w:p>
    <w:p>
      <w:pPr>
        <w:spacing w:line="360" w:lineRule="auto"/>
        <w:ind w:firstLine="720" w:firstLineChars="300"/>
        <w:rPr>
          <w:rFonts w:ascii="宋体" w:hAnsi="宋体"/>
          <w:sz w:val="24"/>
          <w:u w:val="single"/>
        </w:rPr>
      </w:pPr>
      <w:r>
        <w:rPr>
          <w:rFonts w:hint="eastAsia" w:ascii="宋体" w:hAnsi="宋体"/>
          <w:sz w:val="24"/>
          <w:u w:val="single"/>
        </w:rPr>
        <w:t>　　　</w:t>
      </w:r>
      <w:r>
        <w:rPr>
          <w:rFonts w:hint="eastAsia" w:ascii="宋体" w:hAnsi="宋体"/>
          <w:sz w:val="24"/>
        </w:rPr>
        <w:t xml:space="preserve">(买方) </w:t>
      </w:r>
      <w:r>
        <w:rPr>
          <w:rFonts w:hint="eastAsia" w:ascii="宋体" w:hAnsi="宋体"/>
          <w:sz w:val="24"/>
          <w:u w:val="single"/>
        </w:rPr>
        <w:t>　　　</w:t>
      </w:r>
      <w:r>
        <w:rPr>
          <w:rFonts w:hint="eastAsia" w:ascii="宋体" w:hAnsi="宋体"/>
          <w:sz w:val="24"/>
        </w:rPr>
        <w:t>(项目名称)中所需</w:t>
      </w:r>
      <w:r>
        <w:rPr>
          <w:rFonts w:hint="eastAsia" w:ascii="宋体" w:hAnsi="宋体"/>
          <w:sz w:val="24"/>
          <w:u w:val="single"/>
        </w:rPr>
        <w:t>　　　</w:t>
      </w:r>
      <w:r>
        <w:rPr>
          <w:rFonts w:hint="eastAsia" w:ascii="宋体" w:hAnsi="宋体"/>
          <w:sz w:val="24"/>
        </w:rPr>
        <w:t>(货物名称)经</w:t>
      </w:r>
      <w:r>
        <w:rPr>
          <w:rFonts w:hint="eastAsia" w:ascii="宋体" w:hAnsi="宋体"/>
          <w:sz w:val="24"/>
          <w:u w:val="single"/>
        </w:rPr>
        <w:t xml:space="preserve">       </w:t>
      </w:r>
      <w:r>
        <w:rPr>
          <w:rFonts w:hint="eastAsia" w:ascii="宋体" w:hAnsi="宋体"/>
          <w:sz w:val="24"/>
        </w:rPr>
        <w:t>(招标人)以</w:t>
      </w:r>
      <w:r>
        <w:rPr>
          <w:rFonts w:hint="eastAsia" w:ascii="宋体" w:hAnsi="宋体"/>
          <w:sz w:val="24"/>
          <w:u w:val="single"/>
        </w:rPr>
        <w:t>　　　　</w:t>
      </w:r>
      <w:r>
        <w:rPr>
          <w:rFonts w:hint="eastAsia" w:ascii="宋体" w:hAnsi="宋体"/>
          <w:sz w:val="24"/>
        </w:rPr>
        <w:t>号招标文件在国内</w:t>
      </w:r>
      <w:r>
        <w:rPr>
          <w:rFonts w:hint="eastAsia" w:ascii="宋体" w:hAnsi="宋体"/>
          <w:sz w:val="24"/>
          <w:u w:val="single"/>
        </w:rPr>
        <w:t>　　　</w:t>
      </w:r>
      <w:r>
        <w:rPr>
          <w:rFonts w:hint="eastAsia" w:ascii="宋体" w:hAnsi="宋体"/>
          <w:sz w:val="24"/>
        </w:rPr>
        <w:t>（公开/邀请）招标。经评标委员会评定</w:t>
      </w:r>
      <w:r>
        <w:rPr>
          <w:rFonts w:hint="eastAsia" w:ascii="宋体" w:hAnsi="宋体"/>
          <w:sz w:val="24"/>
          <w:u w:val="single"/>
        </w:rPr>
        <w:t>　　　　　  (卖方)</w:t>
      </w:r>
      <w:r>
        <w:rPr>
          <w:rFonts w:hint="eastAsia" w:ascii="宋体" w:hAnsi="宋体"/>
          <w:sz w:val="24"/>
        </w:rPr>
        <w:t>为成交人。买、卖双方依据《中华人民共和国政府采购法》、《中华人民共和国民法典》，在平等自愿的基础上，同意按照下面的条款和条件，签署本合同。</w:t>
      </w:r>
    </w:p>
    <w:p>
      <w:pPr>
        <w:spacing w:line="360" w:lineRule="auto"/>
        <w:rPr>
          <w:rFonts w:ascii="宋体" w:hAnsi="宋体"/>
          <w:b/>
          <w:sz w:val="24"/>
        </w:rPr>
      </w:pPr>
      <w:r>
        <w:rPr>
          <w:rFonts w:ascii="宋体" w:hAnsi="宋体"/>
          <w:b/>
          <w:sz w:val="24"/>
        </w:rPr>
        <w:t>1、合同文件</w:t>
      </w:r>
    </w:p>
    <w:p>
      <w:pPr>
        <w:spacing w:line="360" w:lineRule="auto"/>
        <w:ind w:firstLine="454"/>
        <w:rPr>
          <w:rFonts w:ascii="宋体" w:hAnsi="宋体"/>
          <w:sz w:val="24"/>
        </w:rPr>
      </w:pPr>
      <w:r>
        <w:rPr>
          <w:rFonts w:ascii="宋体" w:hAnsi="宋体"/>
          <w:sz w:val="24"/>
        </w:rPr>
        <w:t>下列文件构成本合同的组成部分，应该认为是一个整体，彼此相互解释，相互补充。为便于解释，组成合同的多个文件的优先支配地位的次序如下：</w:t>
      </w:r>
    </w:p>
    <w:p>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sz w:val="24"/>
        </w:rPr>
        <w:t>本合同书　</w:t>
      </w:r>
    </w:p>
    <w:p>
      <w:pPr>
        <w:spacing w:line="360" w:lineRule="auto"/>
        <w:ind w:firstLine="540"/>
        <w:rPr>
          <w:rFonts w:ascii="宋体" w:hAnsi="宋体"/>
          <w:sz w:val="24"/>
        </w:rPr>
      </w:pPr>
      <w:r>
        <w:rPr>
          <w:rFonts w:ascii="宋体" w:hAnsi="宋体"/>
          <w:sz w:val="24"/>
        </w:rPr>
        <w:t>b.</w:t>
      </w:r>
      <w:r>
        <w:rPr>
          <w:rFonts w:ascii="宋体" w:hAnsi="宋体"/>
          <w:sz w:val="24"/>
        </w:rPr>
        <w:tab/>
      </w:r>
      <w:r>
        <w:rPr>
          <w:rFonts w:hint="eastAsia" w:ascii="宋体" w:hAnsi="宋体"/>
          <w:sz w:val="24"/>
        </w:rPr>
        <w:t>中标</w:t>
      </w:r>
      <w:r>
        <w:rPr>
          <w:rFonts w:ascii="宋体" w:hAnsi="宋体"/>
          <w:sz w:val="24"/>
        </w:rPr>
        <w:t>通知书</w:t>
      </w:r>
    </w:p>
    <w:p>
      <w:pPr>
        <w:spacing w:line="360" w:lineRule="auto"/>
        <w:ind w:firstLine="540"/>
        <w:rPr>
          <w:rFonts w:ascii="宋体" w:hAnsi="宋体"/>
          <w:sz w:val="24"/>
        </w:rPr>
      </w:pPr>
      <w:r>
        <w:rPr>
          <w:rFonts w:hint="eastAsia" w:ascii="宋体" w:hAnsi="宋体"/>
          <w:sz w:val="24"/>
        </w:rPr>
        <w:t>c</w:t>
      </w:r>
      <w:r>
        <w:rPr>
          <w:rFonts w:ascii="宋体" w:hAnsi="宋体"/>
          <w:sz w:val="24"/>
        </w:rPr>
        <w:t>.协议</w:t>
      </w:r>
    </w:p>
    <w:p>
      <w:pPr>
        <w:spacing w:line="360" w:lineRule="auto"/>
        <w:ind w:firstLine="540"/>
        <w:rPr>
          <w:rFonts w:ascii="宋体" w:hAnsi="宋体"/>
          <w:sz w:val="24"/>
        </w:rPr>
      </w:pPr>
      <w:r>
        <w:rPr>
          <w:rFonts w:hint="eastAsia" w:ascii="宋体" w:hAnsi="宋体"/>
          <w:sz w:val="24"/>
        </w:rPr>
        <w:t>d</w:t>
      </w:r>
      <w:r>
        <w:rPr>
          <w:rFonts w:ascii="宋体" w:hAnsi="宋体"/>
          <w:sz w:val="24"/>
        </w:rPr>
        <w:t>.</w:t>
      </w:r>
      <w:r>
        <w:rPr>
          <w:rFonts w:ascii="宋体" w:hAnsi="宋体"/>
          <w:sz w:val="24"/>
        </w:rPr>
        <w:tab/>
      </w:r>
      <w:r>
        <w:rPr>
          <w:rFonts w:hint="eastAsia" w:ascii="宋体" w:hAnsi="宋体"/>
          <w:sz w:val="24"/>
        </w:rPr>
        <w:t>投标文件</w:t>
      </w:r>
      <w:r>
        <w:rPr>
          <w:rFonts w:ascii="宋体" w:hAnsi="宋体"/>
          <w:sz w:val="24"/>
        </w:rPr>
        <w:t xml:space="preserve"> (含澄清文件)</w:t>
      </w:r>
    </w:p>
    <w:p>
      <w:pPr>
        <w:spacing w:line="360" w:lineRule="auto"/>
        <w:ind w:firstLine="540"/>
        <w:rPr>
          <w:rFonts w:ascii="宋体" w:hAnsi="宋体"/>
          <w:sz w:val="24"/>
        </w:rPr>
      </w:pPr>
      <w:r>
        <w:rPr>
          <w:rFonts w:hint="eastAsia" w:ascii="宋体" w:hAnsi="宋体"/>
          <w:sz w:val="24"/>
        </w:rPr>
        <w:t>e</w:t>
      </w:r>
      <w:r>
        <w:rPr>
          <w:rFonts w:ascii="宋体" w:hAnsi="宋体"/>
          <w:sz w:val="24"/>
        </w:rPr>
        <w:t>.</w:t>
      </w:r>
      <w:r>
        <w:rPr>
          <w:rFonts w:ascii="宋体" w:hAnsi="宋体"/>
          <w:sz w:val="24"/>
        </w:rPr>
        <w:tab/>
      </w:r>
      <w:r>
        <w:rPr>
          <w:rFonts w:hint="eastAsia" w:ascii="宋体" w:hAnsi="宋体"/>
          <w:sz w:val="24"/>
        </w:rPr>
        <w:t>招标</w:t>
      </w:r>
      <w:r>
        <w:rPr>
          <w:rFonts w:ascii="宋体" w:hAnsi="宋体"/>
          <w:sz w:val="24"/>
        </w:rPr>
        <w:t>文件 (含招标文件补充通知)</w:t>
      </w:r>
    </w:p>
    <w:p>
      <w:pPr>
        <w:spacing w:line="360" w:lineRule="auto"/>
        <w:rPr>
          <w:rFonts w:ascii="宋体" w:hAnsi="宋体"/>
          <w:b/>
          <w:sz w:val="24"/>
        </w:rPr>
      </w:pPr>
      <w:r>
        <w:rPr>
          <w:rFonts w:ascii="宋体" w:hAnsi="宋体"/>
          <w:b/>
          <w:sz w:val="24"/>
        </w:rPr>
        <w:t>2、合同标的</w:t>
      </w:r>
    </w:p>
    <w:p>
      <w:pPr>
        <w:spacing w:line="360" w:lineRule="auto"/>
        <w:ind w:firstLine="454"/>
        <w:rPr>
          <w:rFonts w:ascii="宋体" w:hAnsi="宋体"/>
          <w:sz w:val="24"/>
        </w:rPr>
      </w:pPr>
      <w:r>
        <w:rPr>
          <w:rFonts w:ascii="宋体" w:hAnsi="宋体"/>
          <w:sz w:val="24"/>
        </w:rPr>
        <w:t>本合同标的名称：</w:t>
      </w:r>
      <w:r>
        <w:rPr>
          <w:rFonts w:ascii="宋体" w:hAnsi="宋体"/>
          <w:sz w:val="24"/>
          <w:u w:val="single"/>
        </w:rPr>
        <w:t>　　　　　　　　　　　　</w:t>
      </w:r>
      <w:r>
        <w:rPr>
          <w:rFonts w:hint="eastAsia" w:ascii="宋体" w:hAnsi="宋体"/>
          <w:sz w:val="24"/>
        </w:rPr>
        <w:t>。</w:t>
      </w:r>
    </w:p>
    <w:p>
      <w:pPr>
        <w:spacing w:line="360" w:lineRule="auto"/>
        <w:ind w:firstLine="454"/>
        <w:rPr>
          <w:rFonts w:ascii="宋体" w:hAnsi="宋体"/>
          <w:sz w:val="24"/>
        </w:rPr>
      </w:pPr>
      <w:r>
        <w:rPr>
          <w:rFonts w:ascii="宋体" w:hAnsi="宋体"/>
          <w:sz w:val="24"/>
        </w:rPr>
        <w:t>标的</w:t>
      </w:r>
      <w:r>
        <w:rPr>
          <w:rFonts w:hint="eastAsia" w:ascii="宋体" w:hAnsi="宋体"/>
          <w:sz w:val="24"/>
        </w:rPr>
        <w:t>交付行为</w:t>
      </w:r>
      <w:r>
        <w:rPr>
          <w:rFonts w:ascii="宋体" w:hAnsi="宋体"/>
          <w:sz w:val="24"/>
        </w:rPr>
        <w:t>完成时间：</w:t>
      </w:r>
      <w:r>
        <w:rPr>
          <w:rFonts w:ascii="宋体" w:hAnsi="宋体"/>
          <w:sz w:val="24"/>
          <w:u w:val="single"/>
        </w:rPr>
        <w:t>　　　　　　　　　　　　　</w:t>
      </w:r>
      <w:r>
        <w:rPr>
          <w:rFonts w:hint="eastAsia" w:ascii="宋体" w:hAnsi="宋体"/>
          <w:sz w:val="24"/>
        </w:rPr>
        <w:t>。</w:t>
      </w:r>
    </w:p>
    <w:p>
      <w:pPr>
        <w:spacing w:line="360" w:lineRule="auto"/>
        <w:rPr>
          <w:rFonts w:ascii="宋体" w:hAnsi="宋体"/>
          <w:b/>
          <w:sz w:val="24"/>
        </w:rPr>
      </w:pPr>
      <w:r>
        <w:rPr>
          <w:rFonts w:ascii="宋体" w:hAnsi="宋体"/>
          <w:b/>
          <w:sz w:val="24"/>
        </w:rPr>
        <w:t>3、合同总价</w:t>
      </w:r>
    </w:p>
    <w:p>
      <w:pPr>
        <w:spacing w:line="360" w:lineRule="auto"/>
        <w:ind w:firstLine="454"/>
        <w:rPr>
          <w:rFonts w:ascii="宋体" w:hAnsi="宋体"/>
          <w:sz w:val="24"/>
        </w:rPr>
      </w:pPr>
      <w:r>
        <w:rPr>
          <w:rFonts w:ascii="宋体" w:hAnsi="宋体"/>
          <w:sz w:val="24"/>
        </w:rPr>
        <w:t>本合同总价为</w:t>
      </w:r>
      <w:r>
        <w:rPr>
          <w:rFonts w:ascii="宋体" w:hAnsi="宋体"/>
          <w:sz w:val="24"/>
          <w:u w:val="single"/>
        </w:rPr>
        <w:t>　　</w:t>
      </w:r>
      <w:r>
        <w:rPr>
          <w:rFonts w:ascii="宋体" w:hAnsi="宋体"/>
          <w:sz w:val="24"/>
        </w:rPr>
        <w:t>元人民币。</w:t>
      </w:r>
    </w:p>
    <w:p>
      <w:pPr>
        <w:spacing w:line="360" w:lineRule="auto"/>
        <w:ind w:firstLine="454"/>
        <w:rPr>
          <w:rFonts w:ascii="宋体" w:hAnsi="宋体"/>
          <w:sz w:val="24"/>
          <w:u w:val="single"/>
        </w:rPr>
      </w:pPr>
      <w:r>
        <w:rPr>
          <w:rFonts w:ascii="宋体" w:hAnsi="宋体"/>
          <w:sz w:val="24"/>
        </w:rPr>
        <w:t>分项价格：</w:t>
      </w:r>
      <w:r>
        <w:rPr>
          <w:rFonts w:ascii="宋体" w:hAnsi="宋体"/>
          <w:sz w:val="24"/>
          <w:u w:val="single"/>
        </w:rPr>
        <w:t>　　　　　　　　　　　　</w:t>
      </w:r>
      <w:r>
        <w:rPr>
          <w:rFonts w:hint="eastAsia" w:ascii="宋体" w:hAnsi="宋体"/>
          <w:sz w:val="24"/>
        </w:rPr>
        <w:t>。</w:t>
      </w:r>
    </w:p>
    <w:p>
      <w:pPr>
        <w:spacing w:line="360" w:lineRule="auto"/>
        <w:rPr>
          <w:rFonts w:ascii="宋体" w:hAnsi="宋体" w:cs="Arial"/>
          <w:sz w:val="24"/>
        </w:rPr>
      </w:pPr>
      <w:r>
        <w:rPr>
          <w:rFonts w:ascii="宋体" w:hAnsi="宋体"/>
          <w:b/>
          <w:sz w:val="24"/>
        </w:rPr>
        <w:t>4、付款方式</w:t>
      </w:r>
    </w:p>
    <w:p>
      <w:pPr>
        <w:autoSpaceDE w:val="0"/>
        <w:spacing w:line="360" w:lineRule="auto"/>
        <w:ind w:right="281" w:rightChars="134"/>
        <w:textAlignment w:val="bottom"/>
      </w:pPr>
      <w:r>
        <w:rPr>
          <w:rFonts w:hint="eastAsia" w:ascii="宋体" w:hAnsi="宋体" w:cs="Arial"/>
          <w:sz w:val="24"/>
          <w:u w:val="single"/>
        </w:rPr>
        <w:t xml:space="preserve">                 </w:t>
      </w:r>
      <w:r>
        <w:rPr>
          <w:rFonts w:hint="eastAsia" w:ascii="宋体" w:hAnsi="宋体" w:cs="Arial"/>
          <w:sz w:val="24"/>
        </w:rPr>
        <w:t>（现金，转账，支票，其他）</w:t>
      </w:r>
    </w:p>
    <w:p>
      <w:pPr>
        <w:spacing w:line="360" w:lineRule="auto"/>
        <w:rPr>
          <w:rFonts w:ascii="宋体" w:hAnsi="宋体"/>
          <w:b/>
          <w:sz w:val="24"/>
        </w:rPr>
      </w:pPr>
      <w:r>
        <w:rPr>
          <w:rFonts w:ascii="宋体" w:hAnsi="宋体"/>
          <w:b/>
          <w:sz w:val="24"/>
        </w:rPr>
        <w:t>5、本合同</w:t>
      </w:r>
      <w:r>
        <w:rPr>
          <w:rFonts w:hint="eastAsia" w:ascii="宋体" w:hAnsi="宋体"/>
          <w:b/>
          <w:sz w:val="24"/>
        </w:rPr>
        <w:t>交货</w:t>
      </w:r>
      <w:r>
        <w:rPr>
          <w:rFonts w:ascii="宋体" w:hAnsi="宋体"/>
          <w:b/>
          <w:sz w:val="24"/>
        </w:rPr>
        <w:t>的时间及地点</w:t>
      </w:r>
    </w:p>
    <w:p>
      <w:pPr>
        <w:spacing w:line="360" w:lineRule="auto"/>
        <w:rPr>
          <w:rFonts w:ascii="宋体" w:hAnsi="宋体"/>
          <w:sz w:val="24"/>
        </w:rPr>
      </w:pPr>
      <w:r>
        <w:rPr>
          <w:rFonts w:hint="eastAsia" w:ascii="宋体" w:hAnsi="宋体"/>
          <w:sz w:val="24"/>
        </w:rPr>
        <w:t>交货</w:t>
      </w:r>
      <w:r>
        <w:rPr>
          <w:rFonts w:ascii="宋体" w:hAnsi="宋体"/>
          <w:sz w:val="24"/>
        </w:rPr>
        <w:t>时间：</w:t>
      </w:r>
      <w:r>
        <w:rPr>
          <w:rFonts w:ascii="宋体" w:hAnsi="宋体"/>
          <w:sz w:val="24"/>
          <w:u w:val="single"/>
        </w:rPr>
        <w:t>　　　　　　　　　　　　　　　</w:t>
      </w:r>
      <w:r>
        <w:rPr>
          <w:rFonts w:ascii="宋体" w:hAnsi="宋体"/>
          <w:sz w:val="24"/>
        </w:rPr>
        <w:t>　</w:t>
      </w:r>
      <w:r>
        <w:rPr>
          <w:rFonts w:hint="eastAsia" w:ascii="宋体" w:hAnsi="宋体"/>
          <w:sz w:val="24"/>
        </w:rPr>
        <w:t>。</w:t>
      </w:r>
    </w:p>
    <w:p>
      <w:pPr>
        <w:spacing w:line="360" w:lineRule="auto"/>
        <w:rPr>
          <w:rFonts w:ascii="宋体" w:hAnsi="宋体"/>
          <w:sz w:val="24"/>
        </w:rPr>
      </w:pPr>
      <w:r>
        <w:rPr>
          <w:rFonts w:hint="eastAsia" w:ascii="宋体" w:hAnsi="宋体"/>
          <w:sz w:val="24"/>
        </w:rPr>
        <w:t>交货</w:t>
      </w:r>
      <w:r>
        <w:rPr>
          <w:rFonts w:ascii="宋体" w:hAnsi="宋体"/>
          <w:sz w:val="24"/>
        </w:rPr>
        <w:t>地点：</w:t>
      </w:r>
      <w:r>
        <w:rPr>
          <w:rFonts w:ascii="宋体" w:hAnsi="宋体"/>
          <w:sz w:val="24"/>
          <w:u w:val="single"/>
        </w:rPr>
        <w:t>　</w:t>
      </w:r>
      <w:r>
        <w:rPr>
          <w:rFonts w:hint="eastAsia" w:ascii="宋体" w:hAnsi="宋体"/>
          <w:sz w:val="24"/>
          <w:u w:val="single"/>
        </w:rPr>
        <w:t xml:space="preserve">      华北电力大学</w:t>
      </w:r>
      <w:r>
        <w:rPr>
          <w:rFonts w:ascii="宋体" w:hAnsi="宋体"/>
          <w:sz w:val="24"/>
          <w:u w:val="single"/>
        </w:rPr>
        <w:t>　</w:t>
      </w:r>
      <w:r>
        <w:rPr>
          <w:rFonts w:hint="eastAsia" w:ascii="宋体" w:hAnsi="宋体"/>
          <w:sz w:val="24"/>
          <w:u w:val="single"/>
        </w:rPr>
        <w:t xml:space="preserve">  </w:t>
      </w:r>
      <w:r>
        <w:rPr>
          <w:rFonts w:ascii="宋体" w:hAnsi="宋体"/>
          <w:sz w:val="24"/>
          <w:u w:val="single"/>
        </w:rPr>
        <w:t>　　　</w:t>
      </w:r>
      <w:r>
        <w:rPr>
          <w:rFonts w:ascii="宋体" w:hAnsi="宋体"/>
          <w:sz w:val="24"/>
        </w:rPr>
        <w:t>　</w:t>
      </w:r>
      <w:r>
        <w:rPr>
          <w:rFonts w:hint="eastAsia" w:ascii="宋体" w:hAnsi="宋体"/>
          <w:sz w:val="24"/>
        </w:rPr>
        <w:t>。</w:t>
      </w:r>
    </w:p>
    <w:p>
      <w:pPr>
        <w:pStyle w:val="19"/>
        <w:ind w:left="0" w:leftChars="0" w:firstLine="0" w:firstLineChars="0"/>
      </w:pPr>
      <w:r>
        <w:rPr>
          <w:rFonts w:hint="eastAsia" w:ascii="宋体" w:hAnsi="宋体"/>
          <w:sz w:val="24"/>
        </w:rPr>
        <w:t>交付内容：</w:t>
      </w:r>
      <w:r>
        <w:rPr>
          <w:rFonts w:ascii="宋体" w:hAnsi="宋体"/>
          <w:sz w:val="24"/>
          <w:u w:val="single"/>
        </w:rPr>
        <w:t>　　　　　　　　　　　　　　　</w:t>
      </w: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6</w:t>
      </w:r>
      <w:r>
        <w:rPr>
          <w:rFonts w:ascii="宋体" w:hAnsi="宋体"/>
          <w:b/>
          <w:sz w:val="24"/>
        </w:rPr>
        <w:t>、合同的生效</w:t>
      </w:r>
    </w:p>
    <w:p>
      <w:pPr>
        <w:snapToGrid w:val="0"/>
        <w:spacing w:before="119" w:line="419" w:lineRule="atLeast"/>
        <w:ind w:firstLine="453"/>
        <w:rPr>
          <w:rFonts w:ascii="宋体" w:hAnsi="宋体"/>
          <w:sz w:val="24"/>
        </w:rPr>
      </w:pPr>
      <w:r>
        <w:rPr>
          <w:rFonts w:ascii="宋体" w:hAnsi="宋体"/>
          <w:sz w:val="24"/>
        </w:rPr>
        <w:t>本合同经双方全权代表签署、加盖单位印章并由卖方递交履约保证金后生效。</w:t>
      </w:r>
    </w:p>
    <w:p>
      <w:pPr>
        <w:snapToGrid w:val="0"/>
        <w:spacing w:before="119" w:line="419" w:lineRule="atLeast"/>
        <w:rPr>
          <w:rFonts w:ascii="宋体" w:hAnsi="宋体"/>
          <w:sz w:val="24"/>
        </w:rPr>
      </w:pPr>
    </w:p>
    <w:p>
      <w:pPr>
        <w:pStyle w:val="19"/>
      </w:pPr>
    </w:p>
    <w:p>
      <w:pPr>
        <w:snapToGrid w:val="0"/>
        <w:spacing w:before="119" w:line="419" w:lineRule="atLeast"/>
        <w:ind w:firstLine="453"/>
        <w:rPr>
          <w:rFonts w:ascii="宋体" w:hAnsi="宋体"/>
          <w:sz w:val="24"/>
        </w:rPr>
      </w:pPr>
      <w:r>
        <w:rPr>
          <w:rFonts w:ascii="宋体" w:hAnsi="宋体"/>
          <w:sz w:val="24"/>
        </w:rPr>
        <w:t>　买　方：</w:t>
      </w:r>
      <w:r>
        <w:rPr>
          <w:rFonts w:hint="eastAsia" w:ascii="宋体" w:hAnsi="宋体"/>
          <w:sz w:val="24"/>
          <w:u w:val="single"/>
        </w:rPr>
        <w:t>华北电力大学</w:t>
      </w:r>
      <w:r>
        <w:rPr>
          <w:rFonts w:ascii="宋体" w:hAnsi="宋体"/>
          <w:sz w:val="24"/>
        </w:rPr>
        <w:t xml:space="preserve">           </w:t>
      </w:r>
      <w:r>
        <w:rPr>
          <w:rFonts w:hint="eastAsia" w:ascii="宋体" w:hAnsi="宋体"/>
          <w:sz w:val="24"/>
        </w:rPr>
        <w:t xml:space="preserve">      </w:t>
      </w:r>
      <w:r>
        <w:rPr>
          <w:rFonts w:ascii="宋体" w:hAnsi="宋体"/>
          <w:sz w:val="24"/>
        </w:rPr>
        <w:t xml:space="preserve">卖　方：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hint="eastAsia" w:ascii="宋体" w:hAnsi="宋体"/>
          <w:sz w:val="24"/>
          <w:u w:val="single"/>
        </w:rPr>
        <w:t xml:space="preserve">      </w:t>
      </w:r>
      <w:r>
        <w:rPr>
          <w:rFonts w:ascii="宋体" w:hAnsi="宋体"/>
          <w:sz w:val="24"/>
        </w:rPr>
        <w:t xml:space="preserve">            </w:t>
      </w:r>
    </w:p>
    <w:p>
      <w:pPr>
        <w:snapToGrid w:val="0"/>
        <w:spacing w:before="119" w:line="419" w:lineRule="atLeast"/>
        <w:ind w:firstLine="453"/>
        <w:rPr>
          <w:rFonts w:ascii="宋体" w:hAnsi="宋体"/>
          <w:sz w:val="24"/>
        </w:rPr>
      </w:pPr>
    </w:p>
    <w:p>
      <w:pPr>
        <w:snapToGrid w:val="0"/>
        <w:spacing w:before="119" w:line="419" w:lineRule="atLeast"/>
        <w:ind w:firstLine="453"/>
        <w:rPr>
          <w:rFonts w:ascii="宋体" w:hAnsi="宋体"/>
          <w:sz w:val="24"/>
        </w:rPr>
      </w:pPr>
      <w:r>
        <w:rPr>
          <w:rFonts w:ascii="宋体" w:hAnsi="宋体"/>
          <w:sz w:val="24"/>
        </w:rPr>
        <w:t xml:space="preserve">　名　称：(印章)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名　称：(印章)</w:t>
      </w:r>
    </w:p>
    <w:p>
      <w:pPr>
        <w:snapToGrid w:val="0"/>
        <w:spacing w:before="119" w:line="419" w:lineRule="atLeast"/>
        <w:ind w:firstLine="453"/>
        <w:rPr>
          <w:rFonts w:ascii="宋体" w:hAnsi="宋体"/>
          <w:sz w:val="24"/>
        </w:rPr>
      </w:pPr>
    </w:p>
    <w:p>
      <w:pPr>
        <w:snapToGrid w:val="0"/>
        <w:spacing w:before="119" w:line="419" w:lineRule="atLeast"/>
        <w:ind w:firstLine="453"/>
        <w:rPr>
          <w:rFonts w:ascii="宋体" w:hAnsi="宋体"/>
          <w:sz w:val="24"/>
        </w:rPr>
      </w:pPr>
    </w:p>
    <w:p>
      <w:pPr>
        <w:snapToGrid w:val="0"/>
        <w:spacing w:before="119" w:line="419" w:lineRule="atLeast"/>
        <w:ind w:firstLine="453"/>
        <w:rPr>
          <w:rFonts w:ascii="宋体" w:hAnsi="宋体"/>
          <w:sz w:val="24"/>
        </w:rPr>
      </w:pPr>
      <w:r>
        <w:rPr>
          <w:rFonts w:ascii="宋体" w:hAnsi="宋体"/>
          <w:sz w:val="24"/>
        </w:rPr>
        <w:t xml:space="preserve">      年　月　日　　　　　　     </w:t>
      </w:r>
      <w:r>
        <w:rPr>
          <w:rFonts w:hint="eastAsia" w:ascii="宋体" w:hAnsi="宋体"/>
          <w:sz w:val="24"/>
        </w:rPr>
        <w:t xml:space="preserve">          </w:t>
      </w:r>
      <w:r>
        <w:rPr>
          <w:rFonts w:ascii="宋体" w:hAnsi="宋体"/>
          <w:sz w:val="24"/>
        </w:rPr>
        <w:t>年　月　日</w:t>
      </w:r>
    </w:p>
    <w:p>
      <w:pPr>
        <w:snapToGrid w:val="0"/>
        <w:spacing w:before="119" w:line="272" w:lineRule="atLeast"/>
        <w:rPr>
          <w:rFonts w:ascii="宋体" w:hAnsi="宋体"/>
          <w:szCs w:val="21"/>
        </w:rPr>
      </w:pPr>
    </w:p>
    <w:p>
      <w:pPr>
        <w:pStyle w:val="19"/>
        <w:rPr>
          <w:lang w:val="en-US"/>
        </w:rPr>
      </w:pPr>
    </w:p>
    <w:p>
      <w:pPr>
        <w:snapToGrid w:val="0"/>
        <w:spacing w:before="119" w:line="419" w:lineRule="atLeast"/>
        <w:ind w:firstLine="453"/>
        <w:rPr>
          <w:rFonts w:ascii="宋体" w:hAnsi="宋体"/>
          <w:sz w:val="24"/>
        </w:rPr>
      </w:pPr>
      <w:r>
        <w:rPr>
          <w:rFonts w:ascii="宋体" w:hAnsi="宋体"/>
          <w:sz w:val="24"/>
        </w:rPr>
        <w:t xml:space="preserve">授权代表(签字)：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授权代表(签字)：     </w:t>
      </w:r>
    </w:p>
    <w:p>
      <w:pPr>
        <w:snapToGrid w:val="0"/>
        <w:spacing w:before="119" w:line="419" w:lineRule="atLeast"/>
        <w:ind w:firstLine="453"/>
        <w:rPr>
          <w:rFonts w:ascii="宋体" w:hAnsi="宋体"/>
          <w:sz w:val="24"/>
        </w:rPr>
      </w:pPr>
    </w:p>
    <w:p>
      <w:pPr>
        <w:pStyle w:val="19"/>
      </w:pPr>
    </w:p>
    <w:p>
      <w:pPr>
        <w:snapToGrid w:val="0"/>
        <w:spacing w:before="119" w:line="419" w:lineRule="atLeast"/>
        <w:ind w:firstLine="453"/>
        <w:rPr>
          <w:rFonts w:ascii="宋体" w:hAnsi="宋体"/>
          <w:sz w:val="24"/>
        </w:rPr>
      </w:pPr>
      <w:r>
        <w:rPr>
          <w:rFonts w:ascii="宋体" w:hAnsi="宋体"/>
          <w:sz w:val="24"/>
        </w:rPr>
        <w:t>地　　址</w:t>
      </w:r>
      <w:r>
        <w:rPr>
          <w:rFonts w:hint="eastAsia" w:ascii="宋体" w:hAnsi="宋体"/>
          <w:sz w:val="24"/>
        </w:rPr>
        <w:t>：</w:t>
      </w:r>
      <w:r>
        <w:rPr>
          <w:rFonts w:hint="eastAsia" w:ascii="宋体" w:hAnsi="宋体"/>
          <w:sz w:val="24"/>
          <w:u w:val="single"/>
        </w:rPr>
        <w:t>北京市昌平区回龙观</w:t>
      </w:r>
      <w:r>
        <w:rPr>
          <w:rFonts w:hint="eastAsia" w:ascii="宋体" w:hAnsi="宋体"/>
          <w:sz w:val="24"/>
        </w:rPr>
        <w:t xml:space="preserve">            </w:t>
      </w:r>
      <w:r>
        <w:rPr>
          <w:rFonts w:ascii="宋体" w:hAnsi="宋体"/>
          <w:sz w:val="24"/>
        </w:rPr>
        <w:t>地　　址：</w:t>
      </w:r>
      <w:r>
        <w:rPr>
          <w:rFonts w:ascii="宋体" w:hAnsi="宋体"/>
          <w:sz w:val="24"/>
          <w:u w:val="single"/>
        </w:rPr>
        <w:tab/>
      </w:r>
      <w:r>
        <w:rPr>
          <w:rFonts w:hint="eastAsia" w:ascii="宋体" w:hAnsi="宋体"/>
          <w:sz w:val="24"/>
          <w:u w:val="single"/>
        </w:rPr>
        <w:t xml:space="preserve">       </w:t>
      </w:r>
      <w:r>
        <w:rPr>
          <w:rFonts w:ascii="宋体" w:hAnsi="宋体"/>
          <w:sz w:val="24"/>
          <w:u w:val="single"/>
        </w:rPr>
        <w:tab/>
      </w:r>
      <w:r>
        <w:rPr>
          <w:rFonts w:ascii="宋体" w:hAnsi="宋体"/>
          <w:sz w:val="24"/>
        </w:rPr>
        <w:tab/>
      </w:r>
      <w:r>
        <w:rPr>
          <w:rFonts w:ascii="宋体" w:hAnsi="宋体"/>
          <w:sz w:val="24"/>
        </w:rPr>
        <w:t xml:space="preserve">  </w:t>
      </w:r>
      <w:r>
        <w:rPr>
          <w:rFonts w:hint="eastAsia" w:ascii="宋体" w:hAnsi="宋体"/>
          <w:sz w:val="24"/>
        </w:rPr>
        <w:t xml:space="preserve">         </w:t>
      </w:r>
      <w:r>
        <w:rPr>
          <w:rFonts w:hint="eastAsia" w:ascii="宋体" w:hAnsi="宋体"/>
          <w:sz w:val="24"/>
          <w:u w:val="single"/>
        </w:rPr>
        <w:t>北农路2号</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p>
    <w:p>
      <w:pPr>
        <w:snapToGrid w:val="0"/>
        <w:spacing w:before="119" w:line="419" w:lineRule="atLeast"/>
        <w:ind w:firstLine="453"/>
        <w:rPr>
          <w:rFonts w:ascii="宋体" w:hAnsi="宋体"/>
          <w:sz w:val="24"/>
        </w:rPr>
      </w:pPr>
      <w:r>
        <w:rPr>
          <w:rFonts w:ascii="宋体" w:hAnsi="宋体"/>
          <w:sz w:val="24"/>
        </w:rPr>
        <w:t>邮政编码：</w:t>
      </w:r>
      <w:r>
        <w:rPr>
          <w:rFonts w:hint="eastAsia" w:ascii="宋体" w:hAnsi="宋体"/>
          <w:sz w:val="24"/>
          <w:u w:val="single"/>
        </w:rPr>
        <w:t>102206</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rPr>
        <w:tab/>
      </w:r>
    </w:p>
    <w:p>
      <w:pPr>
        <w:snapToGrid w:val="0"/>
        <w:spacing w:before="119" w:line="419" w:lineRule="atLeast"/>
        <w:ind w:firstLine="453"/>
        <w:rPr>
          <w:rFonts w:ascii="宋体" w:hAnsi="宋体"/>
          <w:sz w:val="24"/>
        </w:rPr>
      </w:pPr>
      <w:r>
        <w:rPr>
          <w:rFonts w:ascii="宋体" w:hAnsi="宋体"/>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hint="eastAsia" w:ascii="宋体" w:hAnsi="宋体"/>
          <w:sz w:val="24"/>
          <w:u w:val="single"/>
        </w:rPr>
        <w:t xml:space="preserve">          </w: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 xml:space="preserve">  </w:t>
      </w:r>
      <w:r>
        <w:rPr>
          <w:rFonts w:ascii="宋体" w:hAnsi="宋体"/>
          <w:sz w:val="24"/>
          <w:u w:val="single"/>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ascii="宋体" w:hAnsi="宋体"/>
          <w:sz w:val="24"/>
        </w:rPr>
        <w:tab/>
      </w:r>
      <w:r>
        <w:rPr>
          <w:rFonts w:hint="eastAsia" w:ascii="宋体" w:hAnsi="宋体"/>
          <w:sz w:val="24"/>
        </w:rPr>
        <w:t xml:space="preserve">  </w:t>
      </w:r>
    </w:p>
    <w:p>
      <w:pPr>
        <w:pStyle w:val="19"/>
        <w:ind w:left="0" w:leftChars="0" w:firstLine="480"/>
        <w:rPr>
          <w:rFonts w:ascii="宋体" w:hAnsi="宋体"/>
          <w:sz w:val="24"/>
          <w:u w:val="single"/>
        </w:rPr>
      </w:pPr>
      <w:r>
        <w:rPr>
          <w:rFonts w:hint="eastAsia" w:ascii="宋体" w:hAnsi="宋体"/>
          <w:sz w:val="24"/>
        </w:rPr>
        <w:t>纳税人识别号：</w:t>
      </w:r>
      <w:r>
        <w:rPr>
          <w:rFonts w:hint="eastAsia" w:ascii="宋体" w:hAnsi="宋体"/>
          <w:sz w:val="24"/>
          <w:u w:val="single"/>
        </w:rPr>
        <w:t xml:space="preserve">1210000040000983X8 </w:t>
      </w:r>
      <w:r>
        <w:rPr>
          <w:rFonts w:hint="eastAsia" w:ascii="宋体" w:hAnsi="宋体"/>
          <w:sz w:val="24"/>
        </w:rPr>
        <w:t xml:space="preserve">      纳税人识别号：</w:t>
      </w:r>
      <w:r>
        <w:rPr>
          <w:rFonts w:ascii="宋体" w:hAnsi="宋体"/>
          <w:sz w:val="24"/>
          <w:u w:val="single"/>
        </w:rPr>
        <w:tab/>
      </w:r>
      <w:r>
        <w:rPr>
          <w:rFonts w:hint="eastAsia" w:ascii="宋体" w:hAnsi="宋体"/>
          <w:sz w:val="24"/>
          <w:u w:val="single"/>
        </w:rPr>
        <w:t xml:space="preserve">      </w:t>
      </w:r>
    </w:p>
    <w:p>
      <w:pPr>
        <w:pStyle w:val="18"/>
        <w:ind w:firstLine="210"/>
      </w:pPr>
    </w:p>
    <w:p>
      <w:pPr>
        <w:snapToGrid w:val="0"/>
        <w:spacing w:before="119" w:line="419" w:lineRule="atLeast"/>
        <w:ind w:firstLine="453"/>
        <w:rPr>
          <w:rFonts w:ascii="宋体" w:hAnsi="宋体"/>
          <w:sz w:val="24"/>
        </w:rPr>
      </w:pPr>
      <w:r>
        <w:rPr>
          <w:rFonts w:ascii="宋体" w:hAnsi="宋体"/>
          <w:sz w:val="24"/>
        </w:rPr>
        <w:t>开户银行：</w:t>
      </w:r>
      <w:r>
        <w:rPr>
          <w:rFonts w:hint="eastAsia" w:ascii="宋体" w:hAnsi="宋体"/>
          <w:sz w:val="24"/>
          <w:u w:val="single"/>
        </w:rPr>
        <w:t>建设银行北京沙河支行</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开户银行： </w:t>
      </w:r>
      <w:r>
        <w:rPr>
          <w:rFonts w:hint="eastAsia" w:ascii="宋体" w:hAnsi="宋体"/>
          <w:sz w:val="24"/>
          <w:u w:val="single"/>
        </w:rPr>
        <w:t xml:space="preserve">        </w:t>
      </w:r>
      <w:r>
        <w:rPr>
          <w:rFonts w:ascii="宋体" w:hAnsi="宋体"/>
          <w:sz w:val="24"/>
          <w:u w:val="single"/>
        </w:rPr>
        <w:t xml:space="preserve"> </w:t>
      </w:r>
      <w:r>
        <w:rPr>
          <w:rFonts w:ascii="宋体" w:hAnsi="宋体"/>
          <w:sz w:val="24"/>
          <w:u w:val="single"/>
        </w:rPr>
        <w:tab/>
      </w:r>
      <w:r>
        <w:rPr>
          <w:rFonts w:ascii="宋体" w:hAnsi="宋体"/>
          <w:sz w:val="24"/>
        </w:rPr>
        <w:t xml:space="preserve"> </w:t>
      </w:r>
      <w:r>
        <w:rPr>
          <w:rFonts w:ascii="宋体" w:hAnsi="宋体"/>
          <w:sz w:val="24"/>
        </w:rPr>
        <w:tab/>
      </w:r>
    </w:p>
    <w:p>
      <w:pPr>
        <w:snapToGrid w:val="0"/>
        <w:spacing w:before="119" w:line="419" w:lineRule="atLeast"/>
        <w:ind w:firstLine="480" w:firstLineChars="200"/>
        <w:rPr>
          <w:rFonts w:ascii="宋体" w:hAnsi="宋体"/>
          <w:sz w:val="24"/>
        </w:rPr>
      </w:pPr>
      <w:r>
        <w:rPr>
          <w:rFonts w:hint="eastAsia" w:ascii="宋体" w:hAnsi="宋体"/>
          <w:sz w:val="24"/>
        </w:rPr>
        <w:t>联行号：</w:t>
      </w:r>
      <w:r>
        <w:rPr>
          <w:rFonts w:hint="eastAsia" w:ascii="宋体" w:hAnsi="宋体"/>
          <w:sz w:val="24"/>
          <w:u w:val="single"/>
        </w:rPr>
        <w:t>105100021035</w:t>
      </w:r>
      <w:r>
        <w:rPr>
          <w:rFonts w:hint="eastAsia" w:ascii="宋体" w:hAnsi="宋体"/>
          <w:sz w:val="24"/>
        </w:rPr>
        <w:t xml:space="preserve">                   联行号：</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 xml:space="preserve">     </w:t>
      </w:r>
      <w:r>
        <w:rPr>
          <w:rFonts w:ascii="宋体" w:hAnsi="宋体"/>
          <w:sz w:val="24"/>
          <w:u w:val="single"/>
        </w:rPr>
        <w:t xml:space="preserve">  </w:t>
      </w:r>
      <w:r>
        <w:rPr>
          <w:rFonts w:ascii="宋体" w:hAnsi="宋体"/>
          <w:sz w:val="24"/>
        </w:rPr>
        <w:tab/>
      </w:r>
    </w:p>
    <w:p>
      <w:pPr>
        <w:snapToGrid w:val="0"/>
        <w:spacing w:before="119" w:line="419" w:lineRule="atLeast"/>
        <w:ind w:firstLine="453"/>
        <w:rPr>
          <w:rFonts w:ascii="宋体" w:hAnsi="宋体"/>
          <w:sz w:val="24"/>
        </w:rPr>
        <w:sectPr>
          <w:pgSz w:w="11905" w:h="16837"/>
          <w:pgMar w:top="1439" w:right="1797" w:bottom="1439" w:left="1797" w:header="850" w:footer="992" w:gutter="0"/>
          <w:cols w:space="720" w:num="1"/>
        </w:sectPr>
      </w:pPr>
      <w:r>
        <w:rPr>
          <w:rFonts w:hint="eastAsia" w:ascii="宋体" w:hAnsi="宋体"/>
          <w:sz w:val="24"/>
        </w:rPr>
        <w:t>账</w:t>
      </w:r>
      <w:r>
        <w:rPr>
          <w:rFonts w:ascii="宋体" w:hAnsi="宋体"/>
          <w:sz w:val="24"/>
        </w:rPr>
        <w:t>　　号：</w:t>
      </w:r>
      <w:r>
        <w:rPr>
          <w:rFonts w:hint="eastAsia" w:ascii="宋体" w:hAnsi="宋体"/>
          <w:sz w:val="24"/>
          <w:u w:val="single"/>
        </w:rPr>
        <w:t>11001016000056055041</w:t>
      </w:r>
      <w:r>
        <w:rPr>
          <w:rFonts w:hint="eastAsia" w:ascii="宋体" w:hAnsi="宋体"/>
          <w:sz w:val="24"/>
        </w:rPr>
        <w:t xml:space="preserve">         账</w:t>
      </w:r>
      <w:r>
        <w:rPr>
          <w:rFonts w:ascii="宋体" w:hAnsi="宋体"/>
          <w:sz w:val="24"/>
        </w:rPr>
        <w:t>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hint="eastAsia" w:ascii="宋体" w:hAnsi="宋体"/>
          <w:sz w:val="24"/>
          <w:u w:val="single"/>
        </w:rPr>
        <w:t xml:space="preserve">  </w:t>
      </w:r>
    </w:p>
    <w:p>
      <w:pPr>
        <w:jc w:val="center"/>
        <w:rPr>
          <w:rFonts w:ascii="宋体" w:hAnsi="宋体"/>
          <w:b/>
          <w:bCs/>
          <w:sz w:val="28"/>
          <w:szCs w:val="28"/>
          <w:u w:val="single"/>
        </w:rPr>
      </w:pPr>
      <w:bookmarkStart w:id="312" w:name="_Toc310195759"/>
      <w:r>
        <w:rPr>
          <w:b/>
          <w:bCs/>
          <w:sz w:val="28"/>
          <w:szCs w:val="28"/>
        </w:rPr>
        <w:t>合同</w:t>
      </w:r>
      <w:bookmarkEnd w:id="312"/>
      <w:r>
        <w:rPr>
          <w:rFonts w:hint="eastAsia"/>
          <w:b/>
          <w:bCs/>
          <w:sz w:val="28"/>
          <w:szCs w:val="28"/>
        </w:rPr>
        <w:t>一般条款</w:t>
      </w:r>
      <w:bookmarkStart w:id="313" w:name="_Toc22177"/>
    </w:p>
    <w:bookmarkEnd w:id="313"/>
    <w:p>
      <w:pPr>
        <w:spacing w:line="360" w:lineRule="auto"/>
        <w:rPr>
          <w:rFonts w:ascii="宋体" w:hAnsi="宋体"/>
          <w:sz w:val="24"/>
        </w:rPr>
      </w:pPr>
      <w:bookmarkStart w:id="314" w:name="_Ref467378404"/>
      <w:bookmarkStart w:id="315" w:name="_Ref467379094"/>
      <w:bookmarkStart w:id="316" w:name="_Toc466997459"/>
      <w:bookmarkStart w:id="317" w:name="_Ref467379214"/>
      <w:bookmarkStart w:id="318" w:name="_Ref467379205"/>
      <w:bookmarkStart w:id="319" w:name="_Ref467378463"/>
      <w:bookmarkStart w:id="320" w:name="_Ref467379101"/>
      <w:bookmarkStart w:id="321" w:name="_Ref467379109"/>
      <w:bookmarkStart w:id="322" w:name="_Ref467379195"/>
      <w:bookmarkStart w:id="323" w:name="_Toc310195732"/>
      <w:bookmarkStart w:id="324" w:name="_Toc20514"/>
      <w:bookmarkStart w:id="325" w:name="_Toc487900349"/>
      <w:bookmarkStart w:id="326" w:name="_Toc4910"/>
      <w:bookmarkStart w:id="327" w:name="_Toc12765"/>
      <w:bookmarkStart w:id="328" w:name="_Ref467379225"/>
      <w:bookmarkStart w:id="329" w:name="_Ref467378499"/>
      <w:r>
        <w:rPr>
          <w:rFonts w:ascii="宋体" w:hAnsi="宋体"/>
          <w:sz w:val="24"/>
        </w:rPr>
        <w:t>1. 定义</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tabs>
          <w:tab w:val="left" w:pos="900"/>
        </w:tabs>
        <w:spacing w:line="360" w:lineRule="auto"/>
        <w:rPr>
          <w:rFonts w:ascii="宋体" w:hAnsi="宋体"/>
          <w:sz w:val="24"/>
        </w:rPr>
      </w:pPr>
      <w:r>
        <w:rPr>
          <w:rFonts w:hint="eastAsia" w:ascii="宋体" w:hAnsi="宋体"/>
          <w:sz w:val="24"/>
        </w:rPr>
        <w:t>本合同中的下列术语应解释为：</w:t>
      </w:r>
    </w:p>
    <w:p>
      <w:pPr>
        <w:spacing w:before="120" w:line="360" w:lineRule="auto"/>
        <w:rPr>
          <w:rFonts w:ascii="宋体" w:hAnsi="宋体"/>
          <w:sz w:val="24"/>
        </w:rPr>
      </w:pPr>
      <w:r>
        <w:rPr>
          <w:rFonts w:hint="eastAsia" w:ascii="宋体" w:hAnsi="宋体"/>
          <w:sz w:val="24"/>
        </w:rPr>
        <w:t>1.1 “合同”系指买卖双方签署的、合同格式中载明的买卖双方所达成的协议，包括所有的附件、附录和构成合同的其它文件。</w:t>
      </w:r>
    </w:p>
    <w:p>
      <w:pPr>
        <w:spacing w:before="120" w:line="360" w:lineRule="auto"/>
        <w:rPr>
          <w:rFonts w:ascii="宋体" w:hAnsi="宋体"/>
          <w:sz w:val="24"/>
        </w:rPr>
      </w:pPr>
      <w:r>
        <w:rPr>
          <w:rFonts w:hint="eastAsia" w:ascii="宋体" w:hAnsi="宋体"/>
          <w:sz w:val="24"/>
        </w:rPr>
        <w:t>1.2 “合同价”系指根据合同约定，卖方在完全履行合同义务后买方应付给卖方的价格。</w:t>
      </w:r>
    </w:p>
    <w:p>
      <w:pPr>
        <w:spacing w:before="120" w:line="360" w:lineRule="auto"/>
        <w:rPr>
          <w:rFonts w:ascii="宋体" w:hAnsi="宋体"/>
          <w:sz w:val="24"/>
        </w:rPr>
      </w:pPr>
      <w:r>
        <w:rPr>
          <w:rFonts w:hint="eastAsia" w:ascii="宋体" w:hAnsi="宋体"/>
          <w:sz w:val="24"/>
        </w:rPr>
        <w:t>1.3 “货物”系指卖方根据合同约定须向买方提供的一切设备、机械、仪表、备件、工具、手册等其它相关资料。</w:t>
      </w:r>
    </w:p>
    <w:p>
      <w:pPr>
        <w:spacing w:before="120" w:line="360" w:lineRule="auto"/>
        <w:rPr>
          <w:rFonts w:ascii="宋体" w:hAnsi="宋体"/>
          <w:sz w:val="24"/>
        </w:rPr>
      </w:pPr>
      <w:r>
        <w:rPr>
          <w:rFonts w:hint="eastAsia" w:ascii="宋体" w:hAnsi="宋体"/>
          <w:sz w:val="24"/>
        </w:rPr>
        <w:t>1.4 “服务”系指根据合同约定卖方承担与供货有关的辅助服务，如运输、保险、及安装、调试、提供技术援助、培训和其他类似的服务。</w:t>
      </w:r>
    </w:p>
    <w:p>
      <w:pPr>
        <w:spacing w:before="120" w:line="360" w:lineRule="auto"/>
        <w:rPr>
          <w:rFonts w:ascii="宋体" w:hAnsi="宋体"/>
          <w:sz w:val="24"/>
        </w:rPr>
      </w:pPr>
      <w:bookmarkStart w:id="330" w:name="_Ref467378840"/>
      <w:r>
        <w:rPr>
          <w:rFonts w:hint="eastAsia" w:ascii="宋体" w:hAnsi="宋体"/>
          <w:sz w:val="24"/>
        </w:rPr>
        <w:t>1.5 “买方”系指采购人或购买服务的单位。</w:t>
      </w:r>
      <w:bookmarkEnd w:id="330"/>
    </w:p>
    <w:p>
      <w:pPr>
        <w:spacing w:before="120" w:line="360" w:lineRule="auto"/>
        <w:rPr>
          <w:rFonts w:ascii="宋体" w:hAnsi="宋体"/>
          <w:sz w:val="24"/>
        </w:rPr>
      </w:pPr>
      <w:bookmarkStart w:id="331" w:name="_Ref467379400"/>
      <w:r>
        <w:rPr>
          <w:rFonts w:hint="eastAsia" w:ascii="宋体" w:hAnsi="宋体"/>
          <w:sz w:val="24"/>
        </w:rPr>
        <w:t>1.6 “卖方”系指根据合同约定提供服务及相关服务的供应商，即中标人。</w:t>
      </w:r>
      <w:bookmarkEnd w:id="331"/>
    </w:p>
    <w:p>
      <w:pPr>
        <w:tabs>
          <w:tab w:val="left" w:pos="900"/>
        </w:tabs>
        <w:spacing w:before="120" w:line="360" w:lineRule="auto"/>
        <w:rPr>
          <w:rFonts w:ascii="宋体" w:hAnsi="宋体"/>
          <w:sz w:val="24"/>
        </w:rPr>
      </w:pPr>
      <w:bookmarkStart w:id="332" w:name="_Ref467379436"/>
      <w:r>
        <w:rPr>
          <w:rFonts w:hint="eastAsia" w:ascii="宋体" w:hAnsi="宋体"/>
          <w:sz w:val="24"/>
        </w:rPr>
        <w:t>1.7 “现场”系指合同约定货物将要运至和安装的地点。</w:t>
      </w:r>
      <w:bookmarkEnd w:id="332"/>
    </w:p>
    <w:p>
      <w:pPr>
        <w:spacing w:before="120" w:line="360" w:lineRule="auto"/>
        <w:rPr>
          <w:rFonts w:ascii="宋体" w:hAnsi="宋体"/>
          <w:sz w:val="24"/>
        </w:rPr>
      </w:pPr>
      <w:r>
        <w:rPr>
          <w:rFonts w:hint="eastAsia" w:ascii="宋体" w:hAnsi="宋体"/>
          <w:sz w:val="24"/>
        </w:rPr>
        <w:t>1.8 “验收”系指合同双方依据强制性的国家技术质量规范和合同约定，确认合同项下的货物符合合同规定的活动。</w:t>
      </w:r>
    </w:p>
    <w:p>
      <w:pPr>
        <w:spacing w:line="360" w:lineRule="auto"/>
        <w:rPr>
          <w:rFonts w:ascii="宋体" w:hAnsi="宋体"/>
          <w:sz w:val="24"/>
        </w:rPr>
      </w:pPr>
      <w:bookmarkStart w:id="333" w:name="_Toc28060"/>
      <w:bookmarkStart w:id="334" w:name="_Toc31378"/>
      <w:bookmarkStart w:id="335" w:name="_Toc310195733"/>
      <w:bookmarkStart w:id="336" w:name="_Toc12303"/>
      <w:bookmarkStart w:id="337" w:name="_Toc487900350"/>
      <w:bookmarkStart w:id="338" w:name="_Toc466997460"/>
      <w:r>
        <w:rPr>
          <w:rFonts w:ascii="宋体" w:hAnsi="宋体"/>
          <w:sz w:val="24"/>
        </w:rPr>
        <w:t>2．技术规范</w:t>
      </w:r>
      <w:bookmarkEnd w:id="333"/>
      <w:bookmarkEnd w:id="334"/>
      <w:bookmarkEnd w:id="335"/>
      <w:bookmarkEnd w:id="336"/>
      <w:bookmarkEnd w:id="337"/>
      <w:bookmarkEnd w:id="338"/>
    </w:p>
    <w:p>
      <w:pPr>
        <w:tabs>
          <w:tab w:val="left" w:pos="900"/>
        </w:tabs>
        <w:spacing w:before="120" w:line="360" w:lineRule="auto"/>
        <w:rPr>
          <w:rFonts w:ascii="宋体" w:hAnsi="宋体"/>
          <w:sz w:val="24"/>
        </w:rPr>
      </w:pPr>
      <w:r>
        <w:rPr>
          <w:rFonts w:hint="eastAsia" w:ascii="宋体" w:hAnsi="宋体"/>
          <w:sz w:val="24"/>
        </w:rPr>
        <w:t>2.1 提交货物的技术规范应与磋商文件规定的技术规范和技术规范附件(如果有的话)及其响应文件的技术规范偏差表(如果被买方接受的话)相一致。若技术规范中无相应说明，则以国家有关部门最新颁布的相应标准及规范为准。</w:t>
      </w:r>
    </w:p>
    <w:p>
      <w:pPr>
        <w:spacing w:line="360" w:lineRule="auto"/>
        <w:rPr>
          <w:rFonts w:ascii="宋体" w:hAnsi="宋体"/>
          <w:sz w:val="24"/>
        </w:rPr>
      </w:pPr>
      <w:bookmarkStart w:id="339" w:name="_Toc466997461"/>
      <w:bookmarkStart w:id="340" w:name="_Toc30080"/>
      <w:bookmarkStart w:id="341" w:name="_Toc487900351"/>
      <w:bookmarkStart w:id="342" w:name="_Toc494"/>
      <w:bookmarkStart w:id="343" w:name="_Toc7979"/>
      <w:bookmarkStart w:id="344" w:name="_Toc310195734"/>
      <w:r>
        <w:rPr>
          <w:rFonts w:ascii="宋体" w:hAnsi="宋体"/>
          <w:sz w:val="24"/>
        </w:rPr>
        <w:t>3. 知识产权</w:t>
      </w:r>
      <w:bookmarkEnd w:id="339"/>
      <w:bookmarkEnd w:id="340"/>
      <w:bookmarkEnd w:id="341"/>
      <w:bookmarkEnd w:id="342"/>
      <w:bookmarkEnd w:id="343"/>
      <w:bookmarkEnd w:id="344"/>
    </w:p>
    <w:p>
      <w:pPr>
        <w:spacing w:before="120" w:line="360" w:lineRule="auto"/>
        <w:rPr>
          <w:rFonts w:ascii="宋体" w:hAnsi="宋体"/>
          <w:sz w:val="24"/>
        </w:rPr>
      </w:pPr>
      <w:r>
        <w:rPr>
          <w:rFonts w:hint="eastAsia" w:ascii="宋体" w:hAnsi="宋体"/>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spacing w:line="360" w:lineRule="auto"/>
        <w:rPr>
          <w:rFonts w:ascii="宋体" w:hAnsi="宋体"/>
          <w:sz w:val="24"/>
        </w:rPr>
      </w:pPr>
      <w:bookmarkStart w:id="345" w:name="_Toc487900352"/>
      <w:bookmarkStart w:id="346" w:name="_Toc20887"/>
      <w:bookmarkStart w:id="347" w:name="_Toc2209"/>
      <w:bookmarkStart w:id="348" w:name="_Toc466997462"/>
      <w:bookmarkStart w:id="349" w:name="_Toc310195735"/>
      <w:bookmarkStart w:id="350" w:name="_Toc17205"/>
      <w:r>
        <w:rPr>
          <w:rFonts w:ascii="宋体" w:hAnsi="宋体"/>
          <w:sz w:val="24"/>
        </w:rPr>
        <w:t>4. 包装要求</w:t>
      </w:r>
      <w:bookmarkEnd w:id="345"/>
      <w:bookmarkEnd w:id="346"/>
      <w:bookmarkEnd w:id="347"/>
      <w:bookmarkEnd w:id="348"/>
      <w:bookmarkEnd w:id="349"/>
      <w:bookmarkEnd w:id="350"/>
    </w:p>
    <w:p>
      <w:pPr>
        <w:spacing w:before="120" w:line="360" w:lineRule="auto"/>
        <w:rPr>
          <w:rFonts w:ascii="宋体" w:hAnsi="宋体"/>
          <w:sz w:val="24"/>
        </w:rPr>
      </w:pPr>
      <w:r>
        <w:rPr>
          <w:rFonts w:hint="eastAsia" w:ascii="宋体" w:hAnsi="宋体"/>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before="120" w:line="360" w:lineRule="auto"/>
        <w:rPr>
          <w:rFonts w:ascii="宋体" w:hAnsi="宋体"/>
          <w:sz w:val="24"/>
        </w:rPr>
      </w:pPr>
      <w:r>
        <w:rPr>
          <w:rFonts w:hint="eastAsia" w:ascii="宋体" w:hAnsi="宋体"/>
          <w:sz w:val="24"/>
        </w:rPr>
        <w:t>4.2 每件包装箱内应附一份详细装箱单和质量合格证。</w:t>
      </w:r>
    </w:p>
    <w:p>
      <w:pPr>
        <w:spacing w:line="360" w:lineRule="auto"/>
        <w:rPr>
          <w:rFonts w:ascii="宋体" w:hAnsi="宋体"/>
          <w:sz w:val="24"/>
        </w:rPr>
      </w:pPr>
      <w:bookmarkStart w:id="351" w:name="_Toc30240"/>
      <w:bookmarkStart w:id="352" w:name="_Toc466997463"/>
      <w:bookmarkStart w:id="353" w:name="_Toc310195736"/>
      <w:bookmarkStart w:id="354" w:name="_Toc487900353"/>
      <w:bookmarkStart w:id="355" w:name="_Toc15762"/>
      <w:bookmarkStart w:id="356" w:name="_Toc17877"/>
      <w:r>
        <w:rPr>
          <w:rFonts w:ascii="宋体" w:hAnsi="宋体"/>
          <w:sz w:val="24"/>
        </w:rPr>
        <w:t>5. 装运标志</w:t>
      </w:r>
      <w:bookmarkEnd w:id="351"/>
      <w:bookmarkEnd w:id="352"/>
      <w:bookmarkEnd w:id="353"/>
      <w:bookmarkEnd w:id="354"/>
      <w:bookmarkEnd w:id="355"/>
      <w:bookmarkEnd w:id="356"/>
    </w:p>
    <w:p>
      <w:pPr>
        <w:spacing w:before="120" w:line="360" w:lineRule="auto"/>
        <w:ind w:left="720" w:hanging="720"/>
        <w:rPr>
          <w:rFonts w:ascii="宋体" w:hAnsi="宋体"/>
          <w:sz w:val="24"/>
        </w:rPr>
      </w:pPr>
      <w:r>
        <w:rPr>
          <w:rFonts w:hint="eastAsia" w:ascii="宋体" w:hAnsi="宋体"/>
          <w:sz w:val="24"/>
        </w:rPr>
        <w:t>5.1 卖方应在每一包装箱的四侧用不褪色的油漆以醒目的中文字样做出下列标记：</w:t>
      </w:r>
    </w:p>
    <w:p>
      <w:pPr>
        <w:spacing w:line="360" w:lineRule="auto"/>
        <w:ind w:left="1276"/>
        <w:rPr>
          <w:rFonts w:ascii="宋体" w:hAnsi="宋体"/>
          <w:sz w:val="24"/>
        </w:rPr>
      </w:pPr>
      <w:r>
        <w:rPr>
          <w:rFonts w:hint="eastAsia" w:ascii="宋体" w:hAnsi="宋体"/>
          <w:sz w:val="24"/>
        </w:rPr>
        <w:t>收货人：</w:t>
      </w:r>
    </w:p>
    <w:p>
      <w:pPr>
        <w:spacing w:line="360" w:lineRule="auto"/>
        <w:ind w:left="1276"/>
        <w:rPr>
          <w:rFonts w:ascii="宋体" w:hAnsi="宋体"/>
          <w:sz w:val="24"/>
        </w:rPr>
      </w:pPr>
      <w:r>
        <w:rPr>
          <w:rFonts w:hint="eastAsia" w:ascii="宋体" w:hAnsi="宋体"/>
          <w:sz w:val="24"/>
        </w:rPr>
        <w:t>合同号：</w:t>
      </w:r>
    </w:p>
    <w:p>
      <w:pPr>
        <w:spacing w:line="360" w:lineRule="auto"/>
        <w:ind w:left="1276"/>
        <w:rPr>
          <w:rFonts w:ascii="宋体" w:hAnsi="宋体"/>
          <w:sz w:val="24"/>
        </w:rPr>
      </w:pPr>
      <w:r>
        <w:rPr>
          <w:rFonts w:hint="eastAsia" w:ascii="宋体" w:hAnsi="宋体"/>
          <w:sz w:val="24"/>
        </w:rPr>
        <w:t>装运标志：</w:t>
      </w:r>
    </w:p>
    <w:p>
      <w:pPr>
        <w:spacing w:line="360" w:lineRule="auto"/>
        <w:ind w:left="1276"/>
        <w:rPr>
          <w:rFonts w:ascii="宋体" w:hAnsi="宋体"/>
          <w:sz w:val="24"/>
        </w:rPr>
      </w:pPr>
      <w:r>
        <w:rPr>
          <w:rFonts w:hint="eastAsia" w:ascii="宋体" w:hAnsi="宋体"/>
          <w:sz w:val="24"/>
        </w:rPr>
        <w:t>收货人代号：</w:t>
      </w:r>
    </w:p>
    <w:p>
      <w:pPr>
        <w:spacing w:line="360" w:lineRule="auto"/>
        <w:ind w:left="1276"/>
        <w:rPr>
          <w:rFonts w:ascii="宋体" w:hAnsi="宋体"/>
          <w:sz w:val="24"/>
        </w:rPr>
      </w:pPr>
      <w:r>
        <w:rPr>
          <w:rFonts w:hint="eastAsia" w:ascii="宋体" w:hAnsi="宋体"/>
          <w:sz w:val="24"/>
        </w:rPr>
        <w:t>目的地：</w:t>
      </w:r>
    </w:p>
    <w:p>
      <w:pPr>
        <w:spacing w:line="360" w:lineRule="auto"/>
        <w:ind w:left="1276"/>
        <w:rPr>
          <w:rFonts w:ascii="宋体" w:hAnsi="宋体"/>
          <w:sz w:val="24"/>
        </w:rPr>
      </w:pPr>
      <w:r>
        <w:rPr>
          <w:rFonts w:hint="eastAsia" w:ascii="宋体" w:hAnsi="宋体"/>
          <w:sz w:val="24"/>
        </w:rPr>
        <w:t>货物名称、品目号和箱号：</w:t>
      </w:r>
    </w:p>
    <w:p>
      <w:pPr>
        <w:spacing w:line="360" w:lineRule="auto"/>
        <w:ind w:left="1276"/>
        <w:rPr>
          <w:rFonts w:ascii="宋体" w:hAnsi="宋体"/>
          <w:sz w:val="24"/>
        </w:rPr>
      </w:pPr>
      <w:r>
        <w:rPr>
          <w:rFonts w:hint="eastAsia" w:ascii="宋体" w:hAnsi="宋体"/>
          <w:sz w:val="24"/>
        </w:rPr>
        <w:t>毛重／净重：</w:t>
      </w:r>
    </w:p>
    <w:p>
      <w:pPr>
        <w:spacing w:line="360" w:lineRule="auto"/>
        <w:ind w:left="1276"/>
        <w:rPr>
          <w:rFonts w:ascii="宋体" w:hAnsi="宋体"/>
          <w:sz w:val="24"/>
        </w:rPr>
      </w:pPr>
      <w:r>
        <w:rPr>
          <w:rFonts w:hint="eastAsia" w:ascii="宋体" w:hAnsi="宋体"/>
          <w:sz w:val="24"/>
        </w:rPr>
        <w:t>尺寸(长×宽×高以厘米计)：</w:t>
      </w:r>
    </w:p>
    <w:p>
      <w:pPr>
        <w:spacing w:before="120" w:line="360" w:lineRule="auto"/>
      </w:pPr>
      <w:r>
        <w:rPr>
          <w:rFonts w:hint="eastAsia" w:ascii="宋体" w:hAnsi="宋体"/>
          <w:sz w:val="24"/>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spacing w:line="360" w:lineRule="auto"/>
        <w:rPr>
          <w:rFonts w:ascii="宋体" w:hAnsi="宋体"/>
          <w:sz w:val="24"/>
        </w:rPr>
      </w:pPr>
      <w:bookmarkStart w:id="357" w:name="_Toc18869"/>
      <w:bookmarkStart w:id="358" w:name="_Ref467378591"/>
      <w:bookmarkStart w:id="359" w:name="_Ref467379542"/>
      <w:bookmarkStart w:id="360" w:name="_Toc26377"/>
      <w:bookmarkStart w:id="361" w:name="_Ref467378541"/>
      <w:bookmarkStart w:id="362" w:name="_Toc487900354"/>
      <w:bookmarkStart w:id="363" w:name="_Toc466997464"/>
      <w:bookmarkStart w:id="364" w:name="_Ref467379527"/>
      <w:bookmarkStart w:id="365" w:name="_Toc310195737"/>
      <w:bookmarkStart w:id="366" w:name="_Ref467379536"/>
      <w:bookmarkStart w:id="367" w:name="_Toc16335"/>
      <w:r>
        <w:rPr>
          <w:rFonts w:ascii="宋体" w:hAnsi="宋体"/>
          <w:sz w:val="24"/>
        </w:rPr>
        <w:t>6. 交货方式</w:t>
      </w:r>
      <w:bookmarkEnd w:id="357"/>
      <w:bookmarkEnd w:id="358"/>
      <w:bookmarkEnd w:id="359"/>
      <w:bookmarkEnd w:id="360"/>
      <w:bookmarkEnd w:id="361"/>
      <w:bookmarkEnd w:id="362"/>
      <w:bookmarkEnd w:id="363"/>
      <w:bookmarkEnd w:id="364"/>
      <w:bookmarkEnd w:id="365"/>
      <w:bookmarkEnd w:id="366"/>
      <w:bookmarkEnd w:id="367"/>
    </w:p>
    <w:p>
      <w:pPr>
        <w:spacing w:before="120" w:line="360" w:lineRule="auto"/>
        <w:rPr>
          <w:rFonts w:ascii="宋体" w:hAnsi="宋体"/>
          <w:sz w:val="24"/>
        </w:rPr>
      </w:pPr>
      <w:bookmarkStart w:id="368" w:name="_Ref467379657"/>
      <w:r>
        <w:rPr>
          <w:rFonts w:hint="eastAsia" w:ascii="宋体" w:hAnsi="宋体"/>
          <w:sz w:val="24"/>
        </w:rPr>
        <w:t>6.1 交货方式一般为下列其中一种，具体在合同专用条款中规定。</w:t>
      </w:r>
      <w:bookmarkEnd w:id="368"/>
    </w:p>
    <w:p>
      <w:pPr>
        <w:spacing w:before="120" w:line="360" w:lineRule="auto"/>
        <w:rPr>
          <w:rFonts w:ascii="宋体" w:hAnsi="宋体"/>
          <w:sz w:val="24"/>
        </w:rPr>
      </w:pPr>
      <w:r>
        <w:rPr>
          <w:rFonts w:hint="eastAsia" w:ascii="宋体" w:hAnsi="宋体"/>
          <w:sz w:val="24"/>
        </w:rPr>
        <w:t>6.1.1 现场交货：卖方负责办理运输和保险，将货物运抵现场。有关运输和保险的一切费用由卖方承担。所有货物运抵现场的日期为交货日期。</w:t>
      </w:r>
    </w:p>
    <w:p>
      <w:pPr>
        <w:spacing w:before="120" w:line="360" w:lineRule="auto"/>
        <w:rPr>
          <w:rFonts w:ascii="宋体" w:hAnsi="宋体"/>
          <w:sz w:val="24"/>
        </w:rPr>
      </w:pPr>
      <w:r>
        <w:rPr>
          <w:rFonts w:hint="eastAsia" w:ascii="宋体" w:hAnsi="宋体"/>
          <w:sz w:val="24"/>
        </w:rPr>
        <w:t>6.1.2 工厂交货：由卖方负责代办运输和保险事宜。运输费和保险费由买方承担。运输部门出具收据的日期为交货日期。</w:t>
      </w:r>
    </w:p>
    <w:p>
      <w:pPr>
        <w:spacing w:before="120" w:line="360" w:lineRule="auto"/>
        <w:ind w:left="960" w:hanging="960"/>
        <w:rPr>
          <w:rFonts w:ascii="宋体" w:hAnsi="宋体"/>
          <w:sz w:val="24"/>
        </w:rPr>
      </w:pPr>
      <w:r>
        <w:rPr>
          <w:rFonts w:hint="eastAsia" w:ascii="宋体" w:hAnsi="宋体"/>
          <w:sz w:val="24"/>
        </w:rPr>
        <w:t>6.1.3 买方自提货物：由买方在合同规定地点自行办理提货。提单日期为交货日期。</w:t>
      </w:r>
    </w:p>
    <w:p>
      <w:pPr>
        <w:spacing w:before="120" w:line="360" w:lineRule="auto"/>
        <w:ind w:left="2"/>
        <w:rPr>
          <w:rFonts w:ascii="宋体" w:hAnsi="宋体"/>
          <w:sz w:val="24"/>
        </w:rPr>
      </w:pPr>
      <w:r>
        <w:rPr>
          <w:rFonts w:hint="eastAsia" w:ascii="宋体" w:hAnsi="宋体"/>
          <w:sz w:val="24"/>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tabs>
          <w:tab w:val="left" w:pos="0"/>
        </w:tabs>
        <w:spacing w:before="120" w:line="360" w:lineRule="auto"/>
        <w:rPr>
          <w:rFonts w:ascii="宋体" w:hAnsi="宋体"/>
          <w:sz w:val="24"/>
        </w:rPr>
      </w:pPr>
      <w:r>
        <w:rPr>
          <w:rFonts w:hint="eastAsia" w:ascii="宋体" w:hAnsi="宋体"/>
          <w:sz w:val="24"/>
        </w:rPr>
        <w:t>6.3 在现场交货和工厂交货条件下，卖方装运的货物不应超过合同规定的数量或重量。否则，卖方应对超运部分引起的一切后果负责。</w:t>
      </w:r>
    </w:p>
    <w:p>
      <w:pPr>
        <w:spacing w:line="360" w:lineRule="auto"/>
        <w:rPr>
          <w:rFonts w:ascii="宋体" w:hAnsi="宋体"/>
          <w:sz w:val="24"/>
        </w:rPr>
      </w:pPr>
      <w:bookmarkStart w:id="369" w:name="_Toc26519"/>
      <w:bookmarkStart w:id="370" w:name="_Toc466997465"/>
      <w:bookmarkStart w:id="371" w:name="_Toc22483"/>
      <w:bookmarkStart w:id="372" w:name="_Toc21219"/>
      <w:bookmarkStart w:id="373" w:name="_Toc487900355"/>
      <w:bookmarkStart w:id="374" w:name="_Toc310195738"/>
      <w:r>
        <w:rPr>
          <w:rFonts w:ascii="宋体" w:hAnsi="宋体"/>
          <w:sz w:val="24"/>
        </w:rPr>
        <w:t>7. 装运通知</w:t>
      </w:r>
      <w:bookmarkEnd w:id="369"/>
      <w:bookmarkEnd w:id="370"/>
      <w:bookmarkEnd w:id="371"/>
      <w:bookmarkEnd w:id="372"/>
      <w:bookmarkEnd w:id="373"/>
      <w:bookmarkEnd w:id="374"/>
    </w:p>
    <w:p>
      <w:pPr>
        <w:spacing w:before="120" w:line="360" w:lineRule="auto"/>
        <w:rPr>
          <w:rFonts w:ascii="宋体" w:hAnsi="宋体"/>
          <w:sz w:val="24"/>
        </w:rPr>
      </w:pPr>
      <w:r>
        <w:rPr>
          <w:rFonts w:hint="eastAsia" w:ascii="宋体" w:hAnsi="宋体"/>
          <w:sz w:val="24"/>
        </w:rPr>
        <w:t>7.1 在现场交货和工厂交货条件下的货物，在卖方已通知买方货物已备妥待运输后24小时之内，卖方应将合同号、货名、数量、毛重、总体积(立方米)、发票金额、运输工具名称及装运日期，以电报或传真通知买方。</w:t>
      </w:r>
    </w:p>
    <w:p>
      <w:pPr>
        <w:spacing w:before="120" w:line="360" w:lineRule="auto"/>
        <w:rPr>
          <w:rFonts w:ascii="宋体" w:hAnsi="宋体"/>
          <w:sz w:val="24"/>
        </w:rPr>
      </w:pPr>
      <w:r>
        <w:rPr>
          <w:rFonts w:hint="eastAsia" w:ascii="宋体" w:hAnsi="宋体"/>
          <w:sz w:val="24"/>
        </w:rPr>
        <w:t>7.2 如因卖方延误将上述内容用电报或传真通知买方，由此引起的一切后果损失应由卖方负责。</w:t>
      </w:r>
    </w:p>
    <w:p>
      <w:pPr>
        <w:spacing w:line="360" w:lineRule="auto"/>
        <w:rPr>
          <w:rFonts w:ascii="宋体" w:hAnsi="宋体"/>
          <w:sz w:val="24"/>
        </w:rPr>
      </w:pPr>
      <w:bookmarkStart w:id="375" w:name="_Toc225"/>
      <w:bookmarkStart w:id="376" w:name="_Toc466997466"/>
      <w:bookmarkStart w:id="377" w:name="_Toc15745"/>
      <w:bookmarkStart w:id="378" w:name="_Toc8127"/>
      <w:bookmarkStart w:id="379" w:name="_Toc487900356"/>
      <w:bookmarkStart w:id="380" w:name="_Toc310195739"/>
      <w:r>
        <w:rPr>
          <w:rFonts w:ascii="宋体" w:hAnsi="宋体"/>
          <w:sz w:val="24"/>
        </w:rPr>
        <w:t>8. 保险</w:t>
      </w:r>
      <w:bookmarkEnd w:id="375"/>
      <w:bookmarkEnd w:id="376"/>
      <w:bookmarkEnd w:id="377"/>
      <w:bookmarkEnd w:id="378"/>
      <w:bookmarkEnd w:id="379"/>
      <w:bookmarkEnd w:id="380"/>
    </w:p>
    <w:p>
      <w:pPr>
        <w:spacing w:before="120" w:line="360" w:lineRule="auto"/>
        <w:rPr>
          <w:rFonts w:ascii="宋体" w:hAnsi="宋体"/>
          <w:sz w:val="24"/>
        </w:rPr>
      </w:pPr>
      <w:r>
        <w:rPr>
          <w:rFonts w:hint="eastAsia" w:ascii="宋体" w:hAnsi="宋体"/>
          <w:sz w:val="24"/>
        </w:rPr>
        <w:t>8.1 如果货物是按现场交货方式或工厂交货方式报价的，由卖方办理保险，按照发票金额的110％办理“一切险”，保险范围包括卖方承诺装运的货物；如果货物是按买方自提货物方式报价的，其保险由买方办理。</w:t>
      </w:r>
    </w:p>
    <w:p>
      <w:pPr>
        <w:spacing w:line="360" w:lineRule="auto"/>
        <w:rPr>
          <w:rFonts w:ascii="宋体" w:hAnsi="宋体"/>
          <w:sz w:val="24"/>
        </w:rPr>
      </w:pPr>
      <w:bookmarkStart w:id="381" w:name="_Toc17016"/>
      <w:bookmarkStart w:id="382" w:name="_Toc310195740"/>
      <w:bookmarkStart w:id="383" w:name="_Toc2686"/>
      <w:bookmarkStart w:id="384" w:name="_Ref467379807"/>
      <w:bookmarkStart w:id="385" w:name="_Toc487900357"/>
      <w:bookmarkStart w:id="386" w:name="_Ref467379793"/>
      <w:bookmarkStart w:id="387" w:name="_Toc466997467"/>
      <w:bookmarkStart w:id="388" w:name="_Toc2501"/>
      <w:r>
        <w:rPr>
          <w:rFonts w:ascii="宋体" w:hAnsi="宋体"/>
          <w:sz w:val="24"/>
        </w:rPr>
        <w:t>9 付款条件</w:t>
      </w:r>
      <w:bookmarkEnd w:id="381"/>
      <w:bookmarkEnd w:id="382"/>
      <w:bookmarkEnd w:id="383"/>
      <w:bookmarkEnd w:id="384"/>
      <w:bookmarkEnd w:id="385"/>
      <w:bookmarkEnd w:id="386"/>
      <w:bookmarkEnd w:id="387"/>
      <w:bookmarkEnd w:id="388"/>
    </w:p>
    <w:p>
      <w:pPr>
        <w:spacing w:before="120" w:line="360" w:lineRule="auto"/>
        <w:rPr>
          <w:rFonts w:ascii="宋体" w:hAnsi="宋体"/>
          <w:sz w:val="24"/>
        </w:rPr>
      </w:pPr>
      <w:r>
        <w:rPr>
          <w:rFonts w:hint="eastAsia" w:ascii="宋体" w:hAnsi="宋体"/>
          <w:sz w:val="24"/>
        </w:rPr>
        <w:t>9.1 付款条件见“合同专用条款”。</w:t>
      </w:r>
    </w:p>
    <w:p>
      <w:pPr>
        <w:spacing w:line="360" w:lineRule="auto"/>
        <w:rPr>
          <w:rFonts w:ascii="宋体" w:hAnsi="宋体"/>
          <w:sz w:val="24"/>
        </w:rPr>
      </w:pPr>
      <w:bookmarkStart w:id="389" w:name="_Ref467379852"/>
      <w:bookmarkStart w:id="390" w:name="_Ref467379923"/>
      <w:bookmarkStart w:id="391" w:name="_Ref467379863"/>
      <w:bookmarkStart w:id="392" w:name="_Toc466997468"/>
      <w:bookmarkStart w:id="393" w:name="_Toc31344"/>
      <w:bookmarkStart w:id="394" w:name="_Toc487900358"/>
      <w:bookmarkStart w:id="395" w:name="_Toc25826"/>
      <w:bookmarkStart w:id="396" w:name="_Toc310195741"/>
      <w:bookmarkStart w:id="397" w:name="_Toc27499"/>
      <w:r>
        <w:rPr>
          <w:rFonts w:ascii="宋体" w:hAnsi="宋体"/>
          <w:sz w:val="24"/>
        </w:rPr>
        <w:t>10 .技术资料</w:t>
      </w:r>
      <w:bookmarkEnd w:id="389"/>
      <w:bookmarkEnd w:id="390"/>
      <w:bookmarkEnd w:id="391"/>
      <w:bookmarkEnd w:id="392"/>
      <w:bookmarkEnd w:id="393"/>
      <w:bookmarkEnd w:id="394"/>
      <w:bookmarkEnd w:id="395"/>
      <w:bookmarkEnd w:id="396"/>
      <w:bookmarkEnd w:id="397"/>
    </w:p>
    <w:p>
      <w:pPr>
        <w:spacing w:before="120" w:line="360" w:lineRule="auto"/>
        <w:rPr>
          <w:rFonts w:ascii="宋体" w:hAnsi="宋体"/>
          <w:sz w:val="24"/>
        </w:rPr>
      </w:pPr>
      <w:r>
        <w:rPr>
          <w:rFonts w:hint="eastAsia" w:ascii="宋体" w:hAnsi="宋体"/>
          <w:sz w:val="24"/>
        </w:rPr>
        <w:t>10.1 合同项下技术资料(除合同专用条款规定外)将以下列方式交付：</w:t>
      </w:r>
    </w:p>
    <w:p>
      <w:pPr>
        <w:spacing w:before="120" w:line="360" w:lineRule="auto"/>
        <w:rPr>
          <w:rFonts w:ascii="宋体" w:hAnsi="宋体"/>
          <w:sz w:val="24"/>
        </w:rPr>
      </w:pPr>
      <w:r>
        <w:rPr>
          <w:rFonts w:hint="eastAsia" w:ascii="宋体" w:hAnsi="宋体"/>
          <w:sz w:val="24"/>
        </w:rPr>
        <w:t>合同生效后</w:t>
      </w:r>
      <w:r>
        <w:rPr>
          <w:rFonts w:hint="eastAsia" w:ascii="宋体" w:hAnsi="宋体"/>
          <w:sz w:val="24"/>
          <w:u w:val="single"/>
        </w:rPr>
        <w:t xml:space="preserve">  10  </w:t>
      </w:r>
      <w:r>
        <w:rPr>
          <w:rFonts w:hint="eastAsia" w:ascii="宋体" w:hAnsi="宋体"/>
          <w:sz w:val="24"/>
        </w:rPr>
        <w:t>天之内，卖方应将每台设备和仪器的中文技术资料一套，如目录索引、图纸、操作手册、使用指南、维修指南和／或服务手册和示意图寄给买方。</w:t>
      </w:r>
    </w:p>
    <w:p>
      <w:pPr>
        <w:spacing w:before="120" w:line="360" w:lineRule="auto"/>
        <w:rPr>
          <w:rFonts w:ascii="宋体" w:hAnsi="宋体"/>
          <w:sz w:val="24"/>
        </w:rPr>
      </w:pPr>
      <w:r>
        <w:rPr>
          <w:rFonts w:hint="eastAsia" w:ascii="宋体" w:hAnsi="宋体"/>
          <w:sz w:val="24"/>
        </w:rPr>
        <w:t>10.2 另外一套完整的上述资料应包装好随同每批货物一起发运。</w:t>
      </w:r>
    </w:p>
    <w:p>
      <w:pPr>
        <w:spacing w:before="120" w:line="360" w:lineRule="auto"/>
        <w:rPr>
          <w:rFonts w:ascii="宋体" w:hAnsi="宋体"/>
          <w:sz w:val="24"/>
        </w:rPr>
      </w:pPr>
      <w:r>
        <w:rPr>
          <w:rFonts w:hint="eastAsia" w:ascii="宋体" w:hAnsi="宋体"/>
          <w:sz w:val="24"/>
        </w:rPr>
        <w:t>10.3 如果买方确认卖方提供的技术资料不完整或在运输过程中丢失，卖方将在收到买方通知后</w:t>
      </w:r>
      <w:r>
        <w:rPr>
          <w:rFonts w:hint="eastAsia" w:ascii="宋体" w:hAnsi="宋体"/>
          <w:sz w:val="24"/>
          <w:u w:val="single"/>
        </w:rPr>
        <w:t xml:space="preserve">  3 </w:t>
      </w:r>
      <w:r>
        <w:rPr>
          <w:rFonts w:hint="eastAsia" w:ascii="宋体" w:hAnsi="宋体"/>
          <w:sz w:val="24"/>
        </w:rPr>
        <w:t>天内将这些资料免费寄给买方。</w:t>
      </w:r>
    </w:p>
    <w:p>
      <w:pPr>
        <w:spacing w:line="360" w:lineRule="auto"/>
        <w:rPr>
          <w:rFonts w:ascii="宋体" w:hAnsi="宋体"/>
          <w:sz w:val="24"/>
        </w:rPr>
      </w:pPr>
      <w:bookmarkStart w:id="398" w:name="_Toc22010"/>
      <w:bookmarkStart w:id="399" w:name="_Toc466997469"/>
      <w:bookmarkStart w:id="400" w:name="_Ref467379937"/>
      <w:bookmarkStart w:id="401" w:name="_Toc27416"/>
      <w:bookmarkStart w:id="402" w:name="_Toc32257"/>
      <w:bookmarkStart w:id="403" w:name="_Ref467379946"/>
      <w:bookmarkStart w:id="404" w:name="_Toc310195742"/>
      <w:bookmarkStart w:id="405" w:name="_Ref467377798"/>
      <w:bookmarkStart w:id="406" w:name="_Toc487900359"/>
      <w:bookmarkStart w:id="407" w:name="_Ref467377962"/>
      <w:r>
        <w:rPr>
          <w:rFonts w:ascii="宋体" w:hAnsi="宋体"/>
          <w:sz w:val="24"/>
        </w:rPr>
        <w:t>11. 质量保证</w:t>
      </w:r>
      <w:bookmarkEnd w:id="398"/>
      <w:bookmarkEnd w:id="399"/>
      <w:bookmarkEnd w:id="400"/>
      <w:bookmarkEnd w:id="401"/>
      <w:bookmarkEnd w:id="402"/>
      <w:bookmarkEnd w:id="403"/>
      <w:bookmarkEnd w:id="404"/>
      <w:bookmarkEnd w:id="405"/>
      <w:bookmarkEnd w:id="406"/>
      <w:bookmarkEnd w:id="407"/>
    </w:p>
    <w:p>
      <w:pPr>
        <w:spacing w:line="360" w:lineRule="auto"/>
        <w:rPr>
          <w:rFonts w:ascii="宋体" w:hAnsi="宋体"/>
          <w:sz w:val="24"/>
        </w:rPr>
      </w:pPr>
      <w:r>
        <w:rPr>
          <w:rFonts w:hint="eastAsia" w:ascii="宋体" w:hAnsi="宋体"/>
          <w:sz w:val="24"/>
        </w:rPr>
        <w:t>11.1 卖方应保证货物是全新、未使用过的，并完全符合强制性的国家技术质量规范和合同规定的质量、规格、性能和技术规范等的要求。</w:t>
      </w:r>
    </w:p>
    <w:p>
      <w:pPr>
        <w:spacing w:line="360" w:lineRule="auto"/>
        <w:rPr>
          <w:rFonts w:ascii="宋体" w:hAnsi="宋体"/>
          <w:sz w:val="24"/>
        </w:rPr>
      </w:pPr>
      <w:r>
        <w:rPr>
          <w:rFonts w:hint="eastAsia" w:ascii="宋体" w:hAnsi="宋体"/>
          <w:sz w:val="24"/>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pPr>
        <w:spacing w:before="120" w:line="360" w:lineRule="auto"/>
        <w:rPr>
          <w:rFonts w:ascii="宋体" w:hAnsi="宋体"/>
          <w:sz w:val="24"/>
        </w:rPr>
      </w:pPr>
      <w:r>
        <w:rPr>
          <w:rFonts w:hint="eastAsia" w:ascii="宋体" w:hAnsi="宋体"/>
          <w:sz w:val="24"/>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hint="eastAsia" w:ascii="宋体" w:hAnsi="宋体"/>
          <w:sz w:val="24"/>
          <w:u w:val="single"/>
        </w:rPr>
        <w:t xml:space="preserve"> 7  </w:t>
      </w:r>
      <w:r>
        <w:rPr>
          <w:rFonts w:hint="eastAsia" w:ascii="宋体" w:hAnsi="宋体"/>
          <w:sz w:val="24"/>
        </w:rPr>
        <w:t>天内应免费维修或更换有缺陷的货物或部件。</w:t>
      </w:r>
    </w:p>
    <w:p>
      <w:pPr>
        <w:spacing w:before="120" w:line="360" w:lineRule="auto"/>
        <w:rPr>
          <w:rFonts w:ascii="宋体" w:hAnsi="宋体"/>
          <w:sz w:val="24"/>
        </w:rPr>
      </w:pPr>
      <w:r>
        <w:rPr>
          <w:rFonts w:hint="eastAsia" w:ascii="宋体" w:hAnsi="宋体"/>
          <w:sz w:val="24"/>
        </w:rPr>
        <w:t>11.4 如果卖方在收到通知后</w:t>
      </w:r>
      <w:r>
        <w:rPr>
          <w:rFonts w:hint="eastAsia" w:ascii="宋体" w:hAnsi="宋体"/>
          <w:sz w:val="24"/>
          <w:u w:val="single"/>
        </w:rPr>
        <w:t xml:space="preserve">  7  </w:t>
      </w:r>
      <w:r>
        <w:rPr>
          <w:rFonts w:hint="eastAsia" w:ascii="宋体" w:hAnsi="宋体"/>
          <w:sz w:val="24"/>
        </w:rPr>
        <w:t>天内没有弥补缺陷，买方可采取必要的补救措施，但由此引发的风险和费用将由卖方承担。</w:t>
      </w:r>
    </w:p>
    <w:p>
      <w:pPr>
        <w:spacing w:before="120" w:line="360" w:lineRule="auto"/>
        <w:rPr>
          <w:rFonts w:ascii="宋体" w:hAnsi="宋体"/>
          <w:b/>
          <w:sz w:val="24"/>
        </w:rPr>
      </w:pPr>
      <w:r>
        <w:rPr>
          <w:rFonts w:hint="eastAsia" w:ascii="宋体" w:hAnsi="宋体"/>
          <w:sz w:val="24"/>
        </w:rPr>
        <w:t>11.5 合同项下货物的质量保证期为自货物通过最终验收起个月。</w:t>
      </w:r>
      <w:r>
        <w:rPr>
          <w:rFonts w:hint="eastAsia" w:ascii="宋体" w:hAnsi="宋体"/>
          <w:b/>
          <w:sz w:val="24"/>
        </w:rPr>
        <w:t>详见合同专用条款.</w:t>
      </w:r>
    </w:p>
    <w:p>
      <w:pPr>
        <w:spacing w:line="360" w:lineRule="auto"/>
        <w:rPr>
          <w:rFonts w:ascii="宋体" w:hAnsi="宋体"/>
          <w:sz w:val="24"/>
        </w:rPr>
      </w:pPr>
      <w:bookmarkStart w:id="408" w:name="_Toc487900360"/>
      <w:bookmarkStart w:id="409" w:name="_Ref467378018"/>
      <w:bookmarkStart w:id="410" w:name="_Toc29908"/>
      <w:bookmarkStart w:id="411" w:name="_Toc466997470"/>
      <w:bookmarkStart w:id="412" w:name="_Toc19408"/>
      <w:bookmarkStart w:id="413" w:name="_Toc310195743"/>
      <w:bookmarkStart w:id="414" w:name="_Toc13024"/>
      <w:r>
        <w:rPr>
          <w:rFonts w:ascii="宋体" w:hAnsi="宋体"/>
          <w:sz w:val="24"/>
        </w:rPr>
        <w:t>12. 检验</w:t>
      </w:r>
      <w:bookmarkEnd w:id="408"/>
      <w:bookmarkEnd w:id="409"/>
      <w:r>
        <w:rPr>
          <w:rFonts w:ascii="宋体" w:hAnsi="宋体"/>
          <w:sz w:val="24"/>
        </w:rPr>
        <w:t>和验收</w:t>
      </w:r>
      <w:bookmarkEnd w:id="410"/>
      <w:bookmarkEnd w:id="411"/>
      <w:bookmarkEnd w:id="412"/>
      <w:bookmarkEnd w:id="413"/>
      <w:bookmarkEnd w:id="414"/>
    </w:p>
    <w:p>
      <w:pPr>
        <w:spacing w:before="120" w:line="360" w:lineRule="auto"/>
        <w:rPr>
          <w:rFonts w:ascii="宋体" w:hAnsi="宋体"/>
          <w:sz w:val="24"/>
        </w:rPr>
      </w:pPr>
      <w:r>
        <w:rPr>
          <w:rFonts w:hint="eastAsia" w:ascii="宋体" w:hAnsi="宋体"/>
          <w:sz w:val="24"/>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pPr>
        <w:spacing w:before="120" w:line="360" w:lineRule="auto"/>
        <w:rPr>
          <w:rFonts w:ascii="宋体" w:hAnsi="宋体"/>
          <w:sz w:val="24"/>
        </w:rPr>
      </w:pPr>
      <w:r>
        <w:rPr>
          <w:rFonts w:hint="eastAsia" w:ascii="宋体" w:hAnsi="宋体"/>
          <w:sz w:val="24"/>
        </w:rPr>
        <w:t>12.2 货物运抵现场后，买方应在</w:t>
      </w:r>
      <w:r>
        <w:rPr>
          <w:rFonts w:hint="eastAsia" w:ascii="宋体" w:hAnsi="宋体"/>
          <w:sz w:val="24"/>
          <w:u w:val="single"/>
        </w:rPr>
        <w:t xml:space="preserve">  30  </w:t>
      </w:r>
      <w:r>
        <w:rPr>
          <w:rFonts w:hint="eastAsia" w:ascii="宋体" w:hAnsi="宋体"/>
          <w:sz w:val="24"/>
        </w:rPr>
        <w:t>日内组织验收，并制作验收备忘录，签署验收意见并报政府采购监督管理部门备案。</w:t>
      </w:r>
    </w:p>
    <w:p>
      <w:pPr>
        <w:spacing w:line="360" w:lineRule="auto"/>
        <w:ind w:left="1"/>
        <w:rPr>
          <w:rFonts w:ascii="宋体" w:hAnsi="宋体"/>
          <w:sz w:val="24"/>
        </w:rPr>
      </w:pPr>
      <w:r>
        <w:rPr>
          <w:rFonts w:hint="eastAsia" w:ascii="宋体" w:hAnsi="宋体"/>
          <w:sz w:val="24"/>
        </w:rPr>
        <w:t>12.3 如果任何被检验或测试的货物不能满足规格的要求，买方可以拒绝接受该货物，卖方应更换被拒绝的货物，或者免费进行必要的修改以满足规格的要求。</w:t>
      </w:r>
    </w:p>
    <w:p>
      <w:pPr>
        <w:spacing w:before="120" w:line="360" w:lineRule="auto"/>
        <w:rPr>
          <w:rFonts w:ascii="宋体" w:hAnsi="宋体"/>
          <w:sz w:val="24"/>
        </w:rPr>
      </w:pPr>
      <w:r>
        <w:rPr>
          <w:rFonts w:hint="eastAsia" w:ascii="宋体" w:hAnsi="宋体"/>
          <w:sz w:val="24"/>
        </w:rPr>
        <w:t>12.4 买方有在货物制造过程中派人员监造的权利, 卖方有义务为买方监造人员行使该权利提供方便。</w:t>
      </w:r>
    </w:p>
    <w:p>
      <w:pPr>
        <w:spacing w:before="120" w:line="360" w:lineRule="auto"/>
        <w:ind w:left="960" w:hanging="960"/>
        <w:rPr>
          <w:rFonts w:ascii="宋体" w:hAnsi="宋体"/>
          <w:sz w:val="24"/>
        </w:rPr>
      </w:pPr>
      <w:r>
        <w:rPr>
          <w:rFonts w:hint="eastAsia" w:ascii="宋体" w:hAnsi="宋体"/>
          <w:sz w:val="24"/>
        </w:rPr>
        <w:t>12.5 制造厂对所供货物进行机械运转试验和性能试验时，必须提前通知买方。</w:t>
      </w:r>
    </w:p>
    <w:p>
      <w:pPr>
        <w:spacing w:line="360" w:lineRule="auto"/>
        <w:rPr>
          <w:rFonts w:ascii="宋体" w:hAnsi="宋体"/>
          <w:sz w:val="24"/>
        </w:rPr>
      </w:pPr>
      <w:bookmarkStart w:id="415" w:name="_Toc487900361"/>
      <w:bookmarkStart w:id="416" w:name="_Toc466997471"/>
      <w:bookmarkStart w:id="417" w:name="_Toc2063"/>
      <w:bookmarkStart w:id="418" w:name="_Toc310195744"/>
      <w:bookmarkStart w:id="419" w:name="_Toc5524"/>
      <w:r>
        <w:rPr>
          <w:rFonts w:ascii="宋体" w:hAnsi="宋体"/>
          <w:sz w:val="24"/>
        </w:rPr>
        <w:t>13. 索赔</w:t>
      </w:r>
      <w:bookmarkEnd w:id="415"/>
      <w:bookmarkEnd w:id="416"/>
      <w:bookmarkEnd w:id="417"/>
      <w:bookmarkEnd w:id="418"/>
      <w:bookmarkEnd w:id="419"/>
    </w:p>
    <w:p>
      <w:pPr>
        <w:spacing w:before="120" w:line="360" w:lineRule="auto"/>
        <w:rPr>
          <w:rFonts w:ascii="宋体" w:hAnsi="宋体"/>
          <w:sz w:val="24"/>
        </w:rPr>
      </w:pPr>
      <w:r>
        <w:rPr>
          <w:rFonts w:hint="eastAsia" w:ascii="宋体" w:hAnsi="宋体"/>
          <w:sz w:val="24"/>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pPr>
        <w:spacing w:before="120" w:line="360" w:lineRule="auto"/>
        <w:rPr>
          <w:rFonts w:ascii="宋体" w:hAnsi="宋体"/>
          <w:sz w:val="24"/>
        </w:rPr>
      </w:pPr>
      <w:bookmarkStart w:id="420" w:name="_Ref467378076"/>
      <w:r>
        <w:rPr>
          <w:rFonts w:hint="eastAsia" w:ascii="宋体" w:hAnsi="宋体"/>
          <w:sz w:val="24"/>
        </w:rPr>
        <w:t>13.2 在根据合同第11条和第12条规定的检验期和质量保证期内，如果卖方对买方提出的索赔负有责任，卖方应按照买方同意的下列一种或多种方式解决索赔事宜：</w:t>
      </w:r>
      <w:bookmarkEnd w:id="420"/>
    </w:p>
    <w:p>
      <w:pPr>
        <w:spacing w:before="120" w:line="360" w:lineRule="auto"/>
        <w:rPr>
          <w:rFonts w:ascii="宋体" w:hAnsi="宋体"/>
          <w:sz w:val="24"/>
        </w:rPr>
      </w:pPr>
      <w:r>
        <w:rPr>
          <w:rFonts w:hint="eastAsia" w:ascii="宋体" w:hAnsi="宋体"/>
          <w:sz w:val="24"/>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before="120" w:line="360" w:lineRule="auto"/>
        <w:rPr>
          <w:rFonts w:ascii="宋体" w:hAnsi="宋体"/>
          <w:sz w:val="24"/>
        </w:rPr>
      </w:pPr>
      <w:r>
        <w:rPr>
          <w:rFonts w:hint="eastAsia" w:ascii="宋体" w:hAnsi="宋体"/>
          <w:sz w:val="24"/>
        </w:rPr>
        <w:t>13.2.2 根据货物低劣程度、损坏程度以及买方所遭受损失的数额，经买卖双方商定降低货物的价格，或由有权的部门评估，以降低后的价格或评估价格为准。</w:t>
      </w:r>
    </w:p>
    <w:p>
      <w:pPr>
        <w:spacing w:before="120" w:line="360" w:lineRule="auto"/>
        <w:rPr>
          <w:rFonts w:ascii="宋体" w:hAnsi="宋体"/>
          <w:sz w:val="24"/>
        </w:rPr>
      </w:pPr>
      <w:r>
        <w:rPr>
          <w:rFonts w:hint="eastAsia" w:ascii="宋体" w:hAnsi="宋体"/>
          <w:sz w:val="24"/>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pPr>
        <w:spacing w:before="120" w:line="360" w:lineRule="auto"/>
        <w:rPr>
          <w:rFonts w:ascii="宋体" w:hAnsi="宋体"/>
          <w:sz w:val="24"/>
        </w:rPr>
      </w:pPr>
      <w:r>
        <w:rPr>
          <w:rFonts w:hint="eastAsia" w:ascii="宋体" w:hAnsi="宋体"/>
          <w:sz w:val="24"/>
        </w:rPr>
        <w:t>13.3 如果在买方发出索赔通知后</w:t>
      </w:r>
      <w:r>
        <w:rPr>
          <w:rFonts w:hint="eastAsia" w:ascii="宋体" w:hAnsi="宋体"/>
          <w:sz w:val="24"/>
          <w:u w:val="single"/>
        </w:rPr>
        <w:t xml:space="preserve"> 7 </w:t>
      </w:r>
      <w:r>
        <w:rPr>
          <w:rFonts w:hint="eastAsia" w:ascii="宋体" w:hAnsi="宋体"/>
          <w:sz w:val="24"/>
        </w:rPr>
        <w:t>天内，卖方未作答复，上述索赔应视为已被卖方接受。如卖方未能在买方提出索赔通知后</w:t>
      </w:r>
      <w:r>
        <w:rPr>
          <w:rFonts w:hint="eastAsia" w:ascii="宋体" w:hAnsi="宋体"/>
          <w:sz w:val="24"/>
          <w:u w:val="single"/>
        </w:rPr>
        <w:t xml:space="preserve"> 7 </w:t>
      </w:r>
      <w:r>
        <w:rPr>
          <w:rFonts w:hint="eastAsia" w:ascii="宋体" w:hAnsi="宋体"/>
          <w:sz w:val="24"/>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spacing w:line="360" w:lineRule="auto"/>
        <w:rPr>
          <w:rFonts w:ascii="宋体" w:hAnsi="宋体"/>
          <w:sz w:val="24"/>
        </w:rPr>
      </w:pPr>
      <w:bookmarkStart w:id="421" w:name="_Toc5316"/>
      <w:bookmarkStart w:id="422" w:name="_Toc310195745"/>
      <w:bookmarkStart w:id="423" w:name="_Toc466997472"/>
      <w:bookmarkStart w:id="424" w:name="_Toc487900362"/>
      <w:bookmarkStart w:id="425" w:name="_Toc7213"/>
      <w:bookmarkStart w:id="426" w:name="_Toc95"/>
      <w:r>
        <w:rPr>
          <w:rFonts w:ascii="宋体" w:hAnsi="宋体"/>
          <w:sz w:val="24"/>
        </w:rPr>
        <w:t>14. 迟延交货</w:t>
      </w:r>
      <w:bookmarkEnd w:id="421"/>
      <w:bookmarkEnd w:id="422"/>
      <w:bookmarkEnd w:id="423"/>
      <w:bookmarkEnd w:id="424"/>
      <w:bookmarkEnd w:id="425"/>
      <w:bookmarkEnd w:id="426"/>
    </w:p>
    <w:p>
      <w:pPr>
        <w:spacing w:before="120" w:line="360" w:lineRule="auto"/>
        <w:ind w:left="901" w:hanging="960"/>
        <w:rPr>
          <w:rFonts w:ascii="宋体" w:hAnsi="宋体"/>
          <w:sz w:val="24"/>
        </w:rPr>
      </w:pPr>
      <w:r>
        <w:rPr>
          <w:rFonts w:hint="eastAsia" w:ascii="宋体" w:hAnsi="宋体"/>
          <w:sz w:val="24"/>
        </w:rPr>
        <w:t>14.1 卖方应按照“货物需求一览表及技术规格”中买方规定的时间表交货和提供服务。</w:t>
      </w:r>
    </w:p>
    <w:p>
      <w:pPr>
        <w:spacing w:before="120" w:line="360" w:lineRule="auto"/>
        <w:ind w:left="960" w:hanging="960"/>
        <w:rPr>
          <w:rFonts w:ascii="宋体" w:hAnsi="宋体"/>
          <w:sz w:val="24"/>
        </w:rPr>
      </w:pPr>
      <w:r>
        <w:rPr>
          <w:rFonts w:hint="eastAsia" w:ascii="宋体" w:hAnsi="宋体"/>
          <w:sz w:val="24"/>
        </w:rPr>
        <w:t>14.2 如果卖方无正当理由迟延交货，买方有权提出违约损失赔偿或解除合同。</w:t>
      </w:r>
    </w:p>
    <w:p>
      <w:pPr>
        <w:spacing w:before="120" w:line="360" w:lineRule="auto"/>
        <w:rPr>
          <w:rFonts w:ascii="宋体" w:hAnsi="宋体"/>
          <w:sz w:val="24"/>
        </w:rPr>
      </w:pPr>
      <w:r>
        <w:rPr>
          <w:rFonts w:hint="eastAsia" w:ascii="宋体" w:hAnsi="宋体"/>
          <w:sz w:val="24"/>
        </w:rPr>
        <w:t>14.3 在履行合同过程中，如果卖方遇到不能按时交货和提供服务的情况，应及时以书面形式将不能按时交货的理由、预期延误时间通知买方。买方收到卖方通知后，认为其理由正当的，可酌情延长交货时间。</w:t>
      </w:r>
    </w:p>
    <w:p>
      <w:pPr>
        <w:spacing w:line="360" w:lineRule="auto"/>
        <w:rPr>
          <w:rFonts w:ascii="宋体" w:hAnsi="宋体"/>
          <w:sz w:val="24"/>
        </w:rPr>
      </w:pPr>
      <w:bookmarkStart w:id="427" w:name="_Toc487900363"/>
      <w:bookmarkStart w:id="428" w:name="_Toc310195746"/>
      <w:bookmarkStart w:id="429" w:name="_Toc21244"/>
      <w:bookmarkStart w:id="430" w:name="_Toc26703"/>
      <w:bookmarkStart w:id="431" w:name="_Toc466997473"/>
      <w:r>
        <w:rPr>
          <w:rFonts w:ascii="宋体" w:hAnsi="宋体"/>
          <w:sz w:val="24"/>
        </w:rPr>
        <w:t>15. 违约赔偿</w:t>
      </w:r>
      <w:bookmarkEnd w:id="427"/>
      <w:bookmarkEnd w:id="428"/>
      <w:bookmarkEnd w:id="429"/>
      <w:bookmarkEnd w:id="430"/>
      <w:bookmarkEnd w:id="431"/>
    </w:p>
    <w:p>
      <w:pPr>
        <w:spacing w:before="120" w:line="360" w:lineRule="auto"/>
        <w:rPr>
          <w:rFonts w:ascii="宋体" w:hAnsi="宋体"/>
          <w:sz w:val="24"/>
        </w:rPr>
      </w:pPr>
      <w:r>
        <w:rPr>
          <w:rFonts w:hint="eastAsia" w:ascii="宋体" w:hAnsi="宋体"/>
          <w:sz w:val="24"/>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pPr>
        <w:spacing w:line="360" w:lineRule="auto"/>
        <w:rPr>
          <w:rFonts w:ascii="宋体" w:hAnsi="宋体"/>
          <w:sz w:val="24"/>
        </w:rPr>
      </w:pPr>
      <w:bookmarkStart w:id="432" w:name="_Toc310195747"/>
      <w:bookmarkStart w:id="433" w:name="_Toc12601"/>
      <w:bookmarkStart w:id="434" w:name="_Ref467378121"/>
      <w:bookmarkStart w:id="435" w:name="_Toc466997474"/>
      <w:bookmarkStart w:id="436" w:name="_Toc15168"/>
      <w:bookmarkStart w:id="437" w:name="_Toc487900364"/>
      <w:bookmarkStart w:id="438" w:name="_Toc24583"/>
      <w:r>
        <w:rPr>
          <w:rFonts w:ascii="宋体" w:hAnsi="宋体"/>
          <w:sz w:val="24"/>
        </w:rPr>
        <w:t>16. 不可抗力</w:t>
      </w:r>
      <w:bookmarkEnd w:id="432"/>
      <w:bookmarkEnd w:id="433"/>
      <w:bookmarkEnd w:id="434"/>
      <w:bookmarkEnd w:id="435"/>
      <w:bookmarkEnd w:id="436"/>
      <w:bookmarkEnd w:id="437"/>
      <w:bookmarkEnd w:id="438"/>
    </w:p>
    <w:p>
      <w:pPr>
        <w:spacing w:before="120" w:line="360" w:lineRule="auto"/>
        <w:rPr>
          <w:rFonts w:ascii="宋体" w:hAnsi="宋体"/>
          <w:sz w:val="24"/>
        </w:rPr>
      </w:pPr>
      <w:r>
        <w:rPr>
          <w:rFonts w:hint="eastAsia" w:ascii="宋体" w:hAnsi="宋体"/>
          <w:sz w:val="24"/>
        </w:rPr>
        <w:t>16.1 如果双方中任何一方遭遇法律规定的不可抗力，致使合同履行受阻时，履行合同的期限应予延长，延长的期限应相当于不可抗力所影响的时间。</w:t>
      </w:r>
    </w:p>
    <w:p>
      <w:pPr>
        <w:spacing w:before="120" w:line="360" w:lineRule="auto"/>
        <w:rPr>
          <w:rFonts w:ascii="宋体" w:hAnsi="宋体"/>
          <w:sz w:val="24"/>
        </w:rPr>
      </w:pPr>
      <w:r>
        <w:rPr>
          <w:rFonts w:hint="eastAsia" w:ascii="宋体" w:hAnsi="宋体"/>
          <w:sz w:val="24"/>
        </w:rPr>
        <w:t>16.2 受事故影响的一方应在不可抗力的事故发生后尽快书面形式通知另一方，并在事故发生后</w:t>
      </w:r>
      <w:r>
        <w:rPr>
          <w:rFonts w:hint="eastAsia" w:ascii="宋体" w:hAnsi="宋体"/>
          <w:sz w:val="24"/>
          <w:u w:val="single"/>
        </w:rPr>
        <w:t xml:space="preserve">  14  </w:t>
      </w:r>
      <w:r>
        <w:rPr>
          <w:rFonts w:hint="eastAsia" w:ascii="宋体" w:hAnsi="宋体"/>
          <w:sz w:val="24"/>
        </w:rPr>
        <w:t>天内，将有关部门出具的证明文件送达另一方。</w:t>
      </w:r>
    </w:p>
    <w:p>
      <w:pPr>
        <w:spacing w:before="120" w:line="360" w:lineRule="auto"/>
        <w:rPr>
          <w:rFonts w:ascii="宋体" w:hAnsi="宋体"/>
          <w:sz w:val="24"/>
        </w:rPr>
      </w:pPr>
      <w:r>
        <w:rPr>
          <w:rFonts w:hint="eastAsia" w:ascii="宋体" w:hAnsi="宋体"/>
          <w:sz w:val="24"/>
        </w:rPr>
        <w:t>16.3不可抗力使合同的某些内容有变更必要的，双方应通过协商在</w:t>
      </w:r>
      <w:r>
        <w:rPr>
          <w:rFonts w:hint="eastAsia" w:ascii="宋体" w:hAnsi="宋体"/>
          <w:sz w:val="24"/>
          <w:u w:val="single"/>
        </w:rPr>
        <w:t xml:space="preserve"> 28 </w:t>
      </w:r>
      <w:r>
        <w:rPr>
          <w:rFonts w:hint="eastAsia" w:ascii="宋体" w:hAnsi="宋体"/>
          <w:sz w:val="24"/>
        </w:rPr>
        <w:t>日内达成进一步履行合同的协议，因不可抗力致使合同不能履行的，合同终止。</w:t>
      </w:r>
    </w:p>
    <w:p>
      <w:pPr>
        <w:spacing w:line="360" w:lineRule="auto"/>
        <w:rPr>
          <w:rFonts w:ascii="宋体" w:hAnsi="宋体"/>
          <w:sz w:val="24"/>
        </w:rPr>
      </w:pPr>
      <w:bookmarkStart w:id="439" w:name="_Toc310195748"/>
      <w:bookmarkStart w:id="440" w:name="_Toc30620"/>
      <w:bookmarkStart w:id="441" w:name="_Toc14851"/>
      <w:bookmarkStart w:id="442" w:name="_Toc487900365"/>
      <w:bookmarkStart w:id="443" w:name="_Toc19697"/>
      <w:bookmarkStart w:id="444" w:name="_Toc466997475"/>
      <w:r>
        <w:rPr>
          <w:rFonts w:ascii="宋体" w:hAnsi="宋体"/>
          <w:sz w:val="24"/>
        </w:rPr>
        <w:t>17. 税费</w:t>
      </w:r>
      <w:bookmarkEnd w:id="439"/>
      <w:bookmarkEnd w:id="440"/>
      <w:bookmarkEnd w:id="441"/>
      <w:bookmarkEnd w:id="442"/>
      <w:bookmarkEnd w:id="443"/>
      <w:bookmarkEnd w:id="444"/>
    </w:p>
    <w:p>
      <w:pPr>
        <w:spacing w:before="120" w:line="360" w:lineRule="auto"/>
        <w:ind w:left="960" w:hanging="960"/>
        <w:rPr>
          <w:rFonts w:ascii="宋体" w:hAnsi="宋体"/>
          <w:sz w:val="24"/>
        </w:rPr>
      </w:pPr>
      <w:r>
        <w:rPr>
          <w:rFonts w:hint="eastAsia" w:ascii="宋体" w:hAnsi="宋体"/>
          <w:sz w:val="24"/>
        </w:rPr>
        <w:t>17.1 与本合同有关的一切税费均适用中华人民共和国法律的相关规定。</w:t>
      </w:r>
    </w:p>
    <w:p>
      <w:pPr>
        <w:spacing w:line="360" w:lineRule="auto"/>
        <w:rPr>
          <w:rFonts w:ascii="宋体" w:hAnsi="宋体"/>
          <w:sz w:val="24"/>
        </w:rPr>
      </w:pPr>
      <w:bookmarkStart w:id="445" w:name="_Hlt487900425"/>
      <w:bookmarkEnd w:id="445"/>
      <w:bookmarkStart w:id="446" w:name="_Toc10905"/>
      <w:bookmarkStart w:id="447" w:name="_Toc310195749"/>
      <w:bookmarkStart w:id="448" w:name="_Toc466997476"/>
      <w:bookmarkStart w:id="449" w:name="_Toc4271"/>
      <w:bookmarkStart w:id="450" w:name="_Toc487900366"/>
      <w:bookmarkStart w:id="451" w:name="_Toc25247"/>
      <w:r>
        <w:rPr>
          <w:rFonts w:hint="eastAsia" w:ascii="宋体" w:hAnsi="宋体"/>
          <w:sz w:val="24"/>
        </w:rPr>
        <w:t>18.  争议的解决方式</w:t>
      </w:r>
    </w:p>
    <w:p>
      <w:pPr>
        <w:spacing w:line="360" w:lineRule="auto"/>
        <w:rPr>
          <w:rFonts w:ascii="宋体" w:hAnsi="宋体"/>
          <w:sz w:val="24"/>
        </w:rPr>
      </w:pPr>
      <w:r>
        <w:rPr>
          <w:rFonts w:hint="eastAsia" w:ascii="宋体" w:hAnsi="宋体"/>
          <w:sz w:val="24"/>
        </w:rPr>
        <w:t xml:space="preserve">     因履行合同所发生的一切争议，双方应当友好协商解决，协商不成的，按下列第　  种方式解决：</w:t>
      </w:r>
    </w:p>
    <w:p>
      <w:pPr>
        <w:spacing w:line="360" w:lineRule="auto"/>
        <w:ind w:firstLine="360" w:firstLineChars="150"/>
        <w:rPr>
          <w:rFonts w:ascii="宋体" w:hAnsi="宋体"/>
          <w:sz w:val="24"/>
        </w:rPr>
      </w:pPr>
      <w:r>
        <w:rPr>
          <w:rFonts w:hint="eastAsia" w:ascii="宋体" w:hAnsi="宋体"/>
          <w:sz w:val="24"/>
        </w:rPr>
        <w:t>18.1提交　  仲裁委员会仲裁，仲裁裁决为终局裁决；</w:t>
      </w:r>
    </w:p>
    <w:p>
      <w:pPr>
        <w:spacing w:line="360" w:lineRule="auto"/>
        <w:rPr>
          <w:rFonts w:ascii="宋体" w:hAnsi="宋体"/>
          <w:sz w:val="24"/>
        </w:rPr>
      </w:pPr>
      <w:r>
        <w:rPr>
          <w:rFonts w:hint="eastAsia" w:ascii="宋体" w:hAnsi="宋体"/>
          <w:sz w:val="24"/>
        </w:rPr>
        <w:t xml:space="preserve">     18.2依法向　  人民法院起诉。</w:t>
      </w:r>
      <w:bookmarkEnd w:id="446"/>
      <w:bookmarkEnd w:id="447"/>
      <w:bookmarkEnd w:id="448"/>
      <w:bookmarkEnd w:id="449"/>
      <w:bookmarkEnd w:id="450"/>
      <w:bookmarkEnd w:id="451"/>
    </w:p>
    <w:p>
      <w:pPr>
        <w:spacing w:line="360" w:lineRule="auto"/>
        <w:rPr>
          <w:rFonts w:ascii="宋体" w:hAnsi="宋体"/>
          <w:sz w:val="24"/>
        </w:rPr>
      </w:pPr>
      <w:bookmarkStart w:id="452" w:name="_Toc487900367"/>
      <w:bookmarkStart w:id="453" w:name="_Toc6058"/>
      <w:bookmarkStart w:id="454" w:name="_Toc466997477"/>
      <w:bookmarkStart w:id="455" w:name="_Toc310195750"/>
      <w:bookmarkStart w:id="456" w:name="_Toc20983"/>
      <w:bookmarkStart w:id="457" w:name="_Toc4482"/>
      <w:r>
        <w:rPr>
          <w:rFonts w:hint="eastAsia" w:ascii="宋体" w:hAnsi="宋体"/>
          <w:sz w:val="24"/>
        </w:rPr>
        <w:t>19. 违约解除合同</w:t>
      </w:r>
      <w:bookmarkEnd w:id="452"/>
      <w:bookmarkEnd w:id="453"/>
      <w:bookmarkEnd w:id="454"/>
      <w:bookmarkEnd w:id="455"/>
      <w:bookmarkEnd w:id="456"/>
      <w:bookmarkEnd w:id="457"/>
    </w:p>
    <w:p>
      <w:pPr>
        <w:spacing w:before="120" w:line="360" w:lineRule="auto"/>
        <w:rPr>
          <w:rFonts w:ascii="宋体" w:hAnsi="宋体"/>
          <w:sz w:val="24"/>
        </w:rPr>
      </w:pPr>
      <w:bookmarkStart w:id="458" w:name="_Ref467378234"/>
      <w:r>
        <w:rPr>
          <w:rFonts w:hint="eastAsia" w:ascii="宋体" w:hAnsi="宋体"/>
          <w:sz w:val="24"/>
        </w:rPr>
        <w:t>19.1 在卖方违约的情况下，买方经政府采购监督管理部门同意后，可向卖方发出书面通知，部分或全部终止合同。同时保留向卖方追诉的权利。</w:t>
      </w:r>
      <w:bookmarkEnd w:id="458"/>
    </w:p>
    <w:p>
      <w:pPr>
        <w:spacing w:before="120" w:line="360" w:lineRule="auto"/>
        <w:rPr>
          <w:rFonts w:ascii="宋体" w:hAnsi="宋体"/>
          <w:sz w:val="24"/>
        </w:rPr>
      </w:pPr>
      <w:r>
        <w:rPr>
          <w:rFonts w:hint="eastAsia" w:ascii="宋体" w:hAnsi="宋体"/>
          <w:sz w:val="24"/>
        </w:rPr>
        <w:t>19.1.1 卖方未能在合同规定的限期或买方同意延长的限期内，提供全部或部分货物的；</w:t>
      </w:r>
    </w:p>
    <w:p>
      <w:pPr>
        <w:spacing w:before="120" w:line="360" w:lineRule="auto"/>
        <w:rPr>
          <w:rFonts w:ascii="宋体" w:hAnsi="宋体"/>
          <w:sz w:val="24"/>
        </w:rPr>
      </w:pPr>
      <w:r>
        <w:rPr>
          <w:rFonts w:hint="eastAsia" w:ascii="宋体" w:hAnsi="宋体"/>
          <w:sz w:val="24"/>
        </w:rPr>
        <w:t>19.1.2 卖方未能履行合同规定的其它主要义务的；</w:t>
      </w:r>
    </w:p>
    <w:p>
      <w:pPr>
        <w:spacing w:before="120" w:line="360" w:lineRule="auto"/>
        <w:rPr>
          <w:rFonts w:ascii="宋体" w:hAnsi="宋体"/>
          <w:sz w:val="24"/>
        </w:rPr>
      </w:pPr>
      <w:r>
        <w:rPr>
          <w:rFonts w:hint="eastAsia" w:ascii="宋体" w:hAnsi="宋体"/>
          <w:sz w:val="24"/>
        </w:rPr>
        <w:t>19.1.3 买方认为卖方在本合同履行过程中有腐败和欺诈行为的。</w:t>
      </w:r>
    </w:p>
    <w:p>
      <w:pPr>
        <w:spacing w:before="120" w:line="360" w:lineRule="auto"/>
        <w:rPr>
          <w:rFonts w:ascii="宋体" w:hAnsi="宋体"/>
          <w:sz w:val="24"/>
        </w:rPr>
      </w:pPr>
      <w:r>
        <w:rPr>
          <w:rFonts w:hint="eastAsia" w:ascii="宋体" w:hAnsi="宋体"/>
          <w:sz w:val="24"/>
        </w:rPr>
        <w:t>19.1.3.1“腐败行为”和“欺诈行为”定义如下:</w:t>
      </w:r>
    </w:p>
    <w:p>
      <w:pPr>
        <w:spacing w:before="120" w:line="360" w:lineRule="auto"/>
        <w:rPr>
          <w:rFonts w:ascii="宋体" w:hAnsi="宋体"/>
          <w:sz w:val="24"/>
        </w:rPr>
      </w:pPr>
      <w:r>
        <w:rPr>
          <w:rFonts w:hint="eastAsia" w:ascii="宋体" w:hAnsi="宋体"/>
          <w:sz w:val="24"/>
        </w:rPr>
        <w:t>19.1.3.1.1“腐败行为”是指提供/给予/接受或索取任何有价值的东西来影响买方在合同签定、履行过程中的行为。</w:t>
      </w:r>
    </w:p>
    <w:p>
      <w:pPr>
        <w:spacing w:before="120" w:line="360" w:lineRule="auto"/>
        <w:rPr>
          <w:rFonts w:ascii="宋体" w:hAnsi="宋体"/>
          <w:sz w:val="24"/>
        </w:rPr>
      </w:pPr>
      <w:r>
        <w:rPr>
          <w:rFonts w:hint="eastAsia" w:ascii="宋体" w:hAnsi="宋体"/>
          <w:sz w:val="24"/>
        </w:rPr>
        <w:t>19.1.3.1.2“欺诈行为”是指为了影响合同签定、履行过程中，以谎报事实的方法，损害买方的利益的行为。</w:t>
      </w:r>
    </w:p>
    <w:p>
      <w:pPr>
        <w:spacing w:before="120" w:line="360" w:lineRule="auto"/>
        <w:rPr>
          <w:rFonts w:ascii="宋体" w:hAnsi="宋体"/>
          <w:sz w:val="24"/>
        </w:rPr>
      </w:pPr>
      <w:r>
        <w:rPr>
          <w:rFonts w:hint="eastAsia" w:ascii="宋体" w:hAnsi="宋体"/>
          <w:sz w:val="24"/>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pPr>
        <w:spacing w:line="360" w:lineRule="auto"/>
        <w:rPr>
          <w:rFonts w:ascii="宋体" w:hAnsi="宋体"/>
          <w:sz w:val="24"/>
        </w:rPr>
      </w:pPr>
      <w:bookmarkStart w:id="459" w:name="_Toc466997478"/>
      <w:bookmarkStart w:id="460" w:name="_Toc310195751"/>
      <w:bookmarkStart w:id="461" w:name="_Toc9418"/>
      <w:bookmarkStart w:id="462" w:name="_Toc13549"/>
      <w:bookmarkStart w:id="463" w:name="_Toc487900368"/>
      <w:bookmarkStart w:id="464" w:name="_Toc1155"/>
      <w:r>
        <w:rPr>
          <w:rFonts w:ascii="宋体" w:hAnsi="宋体"/>
          <w:sz w:val="24"/>
        </w:rPr>
        <w:t>20. 破产终止合同</w:t>
      </w:r>
      <w:bookmarkEnd w:id="459"/>
      <w:bookmarkEnd w:id="460"/>
      <w:bookmarkEnd w:id="461"/>
      <w:bookmarkEnd w:id="462"/>
      <w:bookmarkEnd w:id="463"/>
      <w:bookmarkEnd w:id="464"/>
    </w:p>
    <w:p>
      <w:pPr>
        <w:spacing w:before="120" w:line="360" w:lineRule="auto"/>
        <w:rPr>
          <w:rFonts w:ascii="宋体" w:hAnsi="宋体"/>
          <w:sz w:val="24"/>
        </w:rPr>
      </w:pPr>
      <w:r>
        <w:rPr>
          <w:rFonts w:hint="eastAsia" w:ascii="宋体" w:hAnsi="宋体"/>
          <w:sz w:val="24"/>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pPr>
        <w:spacing w:line="360" w:lineRule="auto"/>
        <w:rPr>
          <w:rFonts w:ascii="宋体" w:hAnsi="宋体"/>
          <w:sz w:val="24"/>
        </w:rPr>
      </w:pPr>
      <w:bookmarkStart w:id="465" w:name="_Toc32310"/>
      <w:bookmarkStart w:id="466" w:name="_Toc310195752"/>
      <w:bookmarkStart w:id="467" w:name="_Toc487900369"/>
      <w:bookmarkStart w:id="468" w:name="_Toc466997479"/>
      <w:bookmarkStart w:id="469" w:name="_Toc3314"/>
      <w:bookmarkStart w:id="470" w:name="_Toc29627"/>
      <w:r>
        <w:rPr>
          <w:rFonts w:ascii="宋体" w:hAnsi="宋体"/>
          <w:sz w:val="24"/>
        </w:rPr>
        <w:t>21. 转让和分包</w:t>
      </w:r>
      <w:bookmarkEnd w:id="465"/>
      <w:bookmarkEnd w:id="466"/>
      <w:bookmarkEnd w:id="467"/>
      <w:bookmarkEnd w:id="468"/>
      <w:bookmarkEnd w:id="469"/>
      <w:bookmarkEnd w:id="470"/>
    </w:p>
    <w:p>
      <w:pPr>
        <w:spacing w:before="120" w:line="360" w:lineRule="auto"/>
        <w:rPr>
          <w:rFonts w:ascii="宋体" w:hAnsi="宋体"/>
          <w:sz w:val="24"/>
        </w:rPr>
      </w:pPr>
      <w:r>
        <w:rPr>
          <w:rFonts w:hint="eastAsia" w:ascii="宋体" w:hAnsi="宋体"/>
          <w:sz w:val="24"/>
        </w:rPr>
        <w:t xml:space="preserve">21.1 </w:t>
      </w:r>
      <w:r>
        <w:rPr>
          <w:rFonts w:hint="eastAsia" w:ascii="宋体" w:hAnsi="宋体"/>
          <w:b/>
          <w:sz w:val="24"/>
        </w:rPr>
        <w:t>政府采购合同不能转让。</w:t>
      </w:r>
    </w:p>
    <w:p>
      <w:pPr>
        <w:spacing w:before="120" w:line="360" w:lineRule="auto"/>
        <w:rPr>
          <w:rFonts w:ascii="宋体" w:hAnsi="宋体"/>
          <w:sz w:val="24"/>
        </w:rPr>
      </w:pPr>
      <w:r>
        <w:rPr>
          <w:rFonts w:hint="eastAsia" w:ascii="宋体" w:hAnsi="宋体"/>
          <w:sz w:val="24"/>
        </w:rPr>
        <w:t>21.2 经买方和政府采购监督管理部门事先书面同意卖方可以将合同项下非主体、非关键性工作分包给他人完成。接受分包的人应当具备相应的资格条件，并不得再次分包。分包不能解除卖方履行本合同的责任和义务。</w:t>
      </w:r>
    </w:p>
    <w:p>
      <w:pPr>
        <w:spacing w:line="360" w:lineRule="auto"/>
        <w:rPr>
          <w:rFonts w:ascii="宋体" w:hAnsi="宋体"/>
          <w:sz w:val="24"/>
        </w:rPr>
      </w:pPr>
      <w:bookmarkStart w:id="471" w:name="_Toc20054"/>
      <w:bookmarkStart w:id="472" w:name="_Toc487900370"/>
      <w:bookmarkStart w:id="473" w:name="_Toc310195753"/>
      <w:bookmarkStart w:id="474" w:name="_Toc25578"/>
      <w:bookmarkStart w:id="475" w:name="_Toc7654"/>
      <w:bookmarkStart w:id="476" w:name="_Toc466997480"/>
      <w:r>
        <w:rPr>
          <w:rFonts w:ascii="宋体" w:hAnsi="宋体"/>
          <w:sz w:val="24"/>
        </w:rPr>
        <w:t>22. 合同修改</w:t>
      </w:r>
      <w:bookmarkEnd w:id="471"/>
      <w:bookmarkEnd w:id="472"/>
      <w:bookmarkEnd w:id="473"/>
      <w:bookmarkEnd w:id="474"/>
      <w:bookmarkEnd w:id="475"/>
      <w:bookmarkEnd w:id="476"/>
    </w:p>
    <w:p>
      <w:pPr>
        <w:spacing w:before="120" w:line="360" w:lineRule="auto"/>
        <w:rPr>
          <w:rFonts w:ascii="宋体" w:hAnsi="宋体"/>
          <w:sz w:val="24"/>
        </w:rPr>
      </w:pPr>
      <w:r>
        <w:rPr>
          <w:rFonts w:hint="eastAsia" w:ascii="宋体" w:hAnsi="宋体"/>
          <w:sz w:val="24"/>
        </w:rPr>
        <w:t>22.1 买方和卖方都不得擅自变更本合同，但合同继续履行将损害国家和社会公共利益的除外。如必须对合同条款进行改动时，由双方当事人提出书面的合同修改意见，并经政府采购监督管理部门同意后签署。</w:t>
      </w:r>
    </w:p>
    <w:p>
      <w:pPr>
        <w:spacing w:line="360" w:lineRule="auto"/>
        <w:rPr>
          <w:rFonts w:ascii="宋体" w:hAnsi="宋体"/>
          <w:sz w:val="24"/>
        </w:rPr>
      </w:pPr>
      <w:bookmarkStart w:id="477" w:name="_Toc20270"/>
      <w:bookmarkStart w:id="478" w:name="_Toc487900371"/>
      <w:bookmarkStart w:id="479" w:name="_Toc466997481"/>
      <w:bookmarkStart w:id="480" w:name="_Toc310195754"/>
      <w:bookmarkStart w:id="481" w:name="_Toc6548"/>
      <w:r>
        <w:rPr>
          <w:rFonts w:ascii="宋体" w:hAnsi="宋体"/>
          <w:sz w:val="24"/>
        </w:rPr>
        <w:t>23. 通知</w:t>
      </w:r>
      <w:bookmarkEnd w:id="477"/>
      <w:bookmarkEnd w:id="478"/>
      <w:bookmarkEnd w:id="479"/>
      <w:bookmarkEnd w:id="480"/>
      <w:bookmarkEnd w:id="481"/>
    </w:p>
    <w:p>
      <w:pPr>
        <w:spacing w:before="120" w:line="360" w:lineRule="auto"/>
        <w:rPr>
          <w:rFonts w:ascii="宋体" w:hAnsi="宋体"/>
          <w:sz w:val="24"/>
        </w:rPr>
      </w:pPr>
      <w:r>
        <w:rPr>
          <w:rFonts w:hint="eastAsia" w:ascii="宋体" w:hAnsi="宋体"/>
          <w:sz w:val="24"/>
        </w:rPr>
        <w:t>23.1 本合同任何一方给另一方的通知，都应以书面形式发送，而另一方也应以书面形式确认并发送到对方明确的地址。</w:t>
      </w:r>
    </w:p>
    <w:p>
      <w:pPr>
        <w:spacing w:line="360" w:lineRule="auto"/>
        <w:rPr>
          <w:rFonts w:ascii="宋体" w:hAnsi="宋体"/>
          <w:sz w:val="24"/>
        </w:rPr>
      </w:pPr>
      <w:bookmarkStart w:id="482" w:name="_Toc9692"/>
      <w:bookmarkStart w:id="483" w:name="_Toc3498"/>
      <w:bookmarkStart w:id="484" w:name="_Toc487900372"/>
      <w:bookmarkStart w:id="485" w:name="_Toc466997482"/>
      <w:bookmarkStart w:id="486" w:name="_Toc310195755"/>
      <w:bookmarkStart w:id="487" w:name="_Toc1339"/>
      <w:r>
        <w:rPr>
          <w:rFonts w:ascii="宋体" w:hAnsi="宋体"/>
          <w:sz w:val="24"/>
        </w:rPr>
        <w:t>24. 计量单位</w:t>
      </w:r>
      <w:bookmarkEnd w:id="482"/>
      <w:bookmarkEnd w:id="483"/>
      <w:bookmarkEnd w:id="484"/>
      <w:bookmarkEnd w:id="485"/>
      <w:bookmarkEnd w:id="486"/>
      <w:bookmarkEnd w:id="487"/>
    </w:p>
    <w:p>
      <w:pPr>
        <w:spacing w:before="120" w:line="360" w:lineRule="auto"/>
        <w:rPr>
          <w:rFonts w:ascii="宋体" w:hAnsi="宋体"/>
          <w:sz w:val="24"/>
        </w:rPr>
      </w:pPr>
      <w:r>
        <w:rPr>
          <w:rFonts w:hint="eastAsia" w:ascii="宋体" w:hAnsi="宋体"/>
          <w:sz w:val="24"/>
        </w:rPr>
        <w:t>24.1 除技术规范中另有规定外,计量单位均使用国家法定计量单位。</w:t>
      </w:r>
    </w:p>
    <w:p>
      <w:pPr>
        <w:spacing w:line="360" w:lineRule="auto"/>
        <w:rPr>
          <w:rFonts w:ascii="宋体" w:hAnsi="宋体"/>
          <w:sz w:val="24"/>
        </w:rPr>
      </w:pPr>
      <w:bookmarkStart w:id="488" w:name="_Toc466997483"/>
      <w:bookmarkStart w:id="489" w:name="_Toc310195756"/>
      <w:bookmarkStart w:id="490" w:name="_Toc9147"/>
      <w:bookmarkStart w:id="491" w:name="_Toc13476"/>
      <w:bookmarkStart w:id="492" w:name="_Toc15106"/>
      <w:bookmarkStart w:id="493" w:name="_Toc487900373"/>
      <w:r>
        <w:rPr>
          <w:rFonts w:ascii="宋体" w:hAnsi="宋体"/>
          <w:sz w:val="24"/>
        </w:rPr>
        <w:t>25. 适用法律</w:t>
      </w:r>
      <w:bookmarkEnd w:id="488"/>
      <w:bookmarkEnd w:id="489"/>
      <w:bookmarkEnd w:id="490"/>
      <w:bookmarkEnd w:id="491"/>
      <w:bookmarkEnd w:id="492"/>
      <w:bookmarkEnd w:id="493"/>
    </w:p>
    <w:p>
      <w:pPr>
        <w:spacing w:before="120" w:line="360" w:lineRule="auto"/>
        <w:rPr>
          <w:rFonts w:ascii="宋体" w:hAnsi="宋体"/>
          <w:sz w:val="24"/>
        </w:rPr>
      </w:pPr>
      <w:r>
        <w:rPr>
          <w:rFonts w:hint="eastAsia" w:ascii="宋体" w:hAnsi="宋体"/>
          <w:sz w:val="24"/>
        </w:rPr>
        <w:t>25.1 本合同应按照中华人民共和国的法律进行解释。</w:t>
      </w:r>
    </w:p>
    <w:p>
      <w:pPr>
        <w:spacing w:line="360" w:lineRule="auto"/>
        <w:rPr>
          <w:rFonts w:ascii="宋体" w:hAnsi="宋体"/>
          <w:sz w:val="24"/>
        </w:rPr>
      </w:pPr>
      <w:r>
        <w:rPr>
          <w:rFonts w:ascii="宋体" w:hAnsi="宋体"/>
          <w:sz w:val="24"/>
        </w:rPr>
        <w:t>26      履约保证金</w:t>
      </w:r>
    </w:p>
    <w:p>
      <w:pPr>
        <w:spacing w:line="360" w:lineRule="auto"/>
        <w:rPr>
          <w:rFonts w:ascii="宋体" w:hAnsi="宋体"/>
          <w:sz w:val="24"/>
        </w:rPr>
      </w:pPr>
      <w:r>
        <w:rPr>
          <w:rFonts w:ascii="宋体" w:hAnsi="宋体"/>
          <w:sz w:val="24"/>
        </w:rPr>
        <w:t>26.1   卖方应在合同签订后</w:t>
      </w:r>
      <w:r>
        <w:rPr>
          <w:rFonts w:hint="eastAsia" w:ascii="宋体" w:hAnsi="宋体"/>
          <w:sz w:val="24"/>
          <w:u w:val="single"/>
        </w:rPr>
        <w:t xml:space="preserve">     </w:t>
      </w:r>
      <w:r>
        <w:rPr>
          <w:rFonts w:ascii="宋体" w:hAnsi="宋体"/>
          <w:sz w:val="24"/>
        </w:rPr>
        <w:t>天内，按约定的方式向买方提交合同总价</w:t>
      </w:r>
      <w:r>
        <w:rPr>
          <w:rFonts w:hint="eastAsia" w:ascii="宋体" w:hAnsi="宋体"/>
          <w:sz w:val="24"/>
          <w:u w:val="single"/>
        </w:rPr>
        <w:t xml:space="preserve">        </w:t>
      </w:r>
      <w:r>
        <w:rPr>
          <w:rFonts w:ascii="宋体" w:hAnsi="宋体"/>
          <w:szCs w:val="21"/>
          <w:u w:val="single"/>
        </w:rPr>
        <w:t>　　　　</w:t>
      </w:r>
      <w:r>
        <w:rPr>
          <w:rFonts w:ascii="宋体" w:hAnsi="宋体"/>
          <w:sz w:val="24"/>
        </w:rPr>
        <w:t>　　　　（不超过5％）的履约保证金。</w:t>
      </w:r>
    </w:p>
    <w:p>
      <w:pPr>
        <w:spacing w:line="360" w:lineRule="auto"/>
        <w:rPr>
          <w:rFonts w:ascii="宋体" w:hAnsi="宋体"/>
          <w:sz w:val="24"/>
        </w:rPr>
      </w:pPr>
      <w:r>
        <w:rPr>
          <w:rFonts w:ascii="宋体" w:hAnsi="宋体"/>
          <w:sz w:val="24"/>
        </w:rPr>
        <w:t>26.2    履约保证金用于补偿买方因卖方不能履行其合同义务而蒙受的损失。</w:t>
      </w:r>
    </w:p>
    <w:p>
      <w:pPr>
        <w:spacing w:line="360" w:lineRule="auto"/>
        <w:rPr>
          <w:rFonts w:ascii="宋体" w:hAnsi="宋体"/>
          <w:sz w:val="24"/>
        </w:rPr>
      </w:pPr>
      <w:r>
        <w:rPr>
          <w:rFonts w:ascii="宋体" w:hAnsi="宋体"/>
          <w:sz w:val="24"/>
        </w:rPr>
        <w:t>26.3    履约保证金应使用本合同货币，按下述方式之一提交：</w:t>
      </w:r>
    </w:p>
    <w:p>
      <w:pPr>
        <w:spacing w:line="360" w:lineRule="auto"/>
        <w:rPr>
          <w:rFonts w:ascii="宋体" w:hAnsi="宋体"/>
          <w:sz w:val="24"/>
        </w:rPr>
      </w:pPr>
      <w:r>
        <w:rPr>
          <w:rFonts w:ascii="宋体" w:hAnsi="宋体"/>
          <w:sz w:val="24"/>
        </w:rPr>
        <w:t xml:space="preserve">  A. 买方可接受的在中华人民共和国注册和营业的银行， </w:t>
      </w:r>
    </w:p>
    <w:p>
      <w:pPr>
        <w:spacing w:line="360" w:lineRule="auto"/>
        <w:rPr>
          <w:rFonts w:ascii="宋体" w:hAnsi="宋体"/>
          <w:sz w:val="24"/>
        </w:rPr>
      </w:pPr>
      <w:r>
        <w:rPr>
          <w:rFonts w:ascii="宋体" w:hAnsi="宋体"/>
          <w:sz w:val="24"/>
        </w:rPr>
        <w:t xml:space="preserve">     按招标文件提供的格式（附件8），或其他买方可接受</w:t>
      </w:r>
    </w:p>
    <w:p>
      <w:pPr>
        <w:spacing w:line="360" w:lineRule="auto"/>
        <w:rPr>
          <w:rFonts w:ascii="宋体" w:hAnsi="宋体"/>
          <w:sz w:val="24"/>
        </w:rPr>
      </w:pPr>
      <w:r>
        <w:rPr>
          <w:rFonts w:ascii="宋体" w:hAnsi="宋体"/>
          <w:sz w:val="24"/>
        </w:rPr>
        <w:t xml:space="preserve">     的格式。</w:t>
      </w:r>
    </w:p>
    <w:p>
      <w:pPr>
        <w:spacing w:line="360" w:lineRule="auto"/>
        <w:rPr>
          <w:rFonts w:ascii="宋体" w:hAnsi="宋体"/>
          <w:sz w:val="24"/>
        </w:rPr>
      </w:pPr>
      <w:r>
        <w:rPr>
          <w:rFonts w:ascii="宋体" w:hAnsi="宋体"/>
          <w:sz w:val="24"/>
        </w:rPr>
        <w:t xml:space="preserve">  B. 支票、汇票或现金。</w:t>
      </w:r>
    </w:p>
    <w:p>
      <w:pPr>
        <w:spacing w:line="360" w:lineRule="auto"/>
        <w:rPr>
          <w:rFonts w:ascii="宋体" w:hAnsi="宋体"/>
          <w:sz w:val="24"/>
        </w:rPr>
      </w:pPr>
      <w:r>
        <w:rPr>
          <w:rFonts w:ascii="宋体" w:hAnsi="宋体"/>
          <w:sz w:val="24"/>
        </w:rPr>
        <w:t>26.4    如果卖方未能按合同规定履行其义务，买方有权从履约保证金中取得补偿。质量保证期结束后三十(30)天内，买方将把履约保证金退还卖方。</w:t>
      </w:r>
    </w:p>
    <w:p>
      <w:pPr>
        <w:spacing w:line="360" w:lineRule="auto"/>
        <w:rPr>
          <w:rFonts w:ascii="宋体" w:hAnsi="宋体"/>
          <w:sz w:val="24"/>
        </w:rPr>
      </w:pPr>
      <w:bookmarkStart w:id="494" w:name="_Toc487900374"/>
      <w:bookmarkStart w:id="495" w:name="_Toc24290"/>
      <w:bookmarkStart w:id="496" w:name="_Toc12553"/>
      <w:bookmarkStart w:id="497" w:name="_Toc13447"/>
      <w:bookmarkStart w:id="498" w:name="_Toc310195757"/>
      <w:bookmarkStart w:id="499" w:name="_Toc466997484"/>
      <w:r>
        <w:rPr>
          <w:rFonts w:ascii="宋体" w:hAnsi="宋体"/>
          <w:sz w:val="24"/>
        </w:rPr>
        <w:t>2</w:t>
      </w:r>
      <w:r>
        <w:rPr>
          <w:rFonts w:hint="eastAsia" w:ascii="宋体" w:hAnsi="宋体"/>
          <w:sz w:val="24"/>
        </w:rPr>
        <w:t>7</w:t>
      </w:r>
      <w:r>
        <w:rPr>
          <w:rFonts w:ascii="宋体" w:hAnsi="宋体"/>
          <w:sz w:val="24"/>
        </w:rPr>
        <w:t>. 合同生效</w:t>
      </w:r>
      <w:bookmarkEnd w:id="494"/>
      <w:r>
        <w:rPr>
          <w:rFonts w:ascii="宋体" w:hAnsi="宋体"/>
          <w:sz w:val="24"/>
        </w:rPr>
        <w:t>和其它</w:t>
      </w:r>
      <w:bookmarkEnd w:id="495"/>
      <w:bookmarkEnd w:id="496"/>
      <w:bookmarkEnd w:id="497"/>
      <w:bookmarkEnd w:id="498"/>
      <w:bookmarkEnd w:id="499"/>
    </w:p>
    <w:p>
      <w:pPr>
        <w:pStyle w:val="5"/>
        <w:spacing w:line="360" w:lineRule="auto"/>
        <w:ind w:left="2" w:firstLine="0"/>
        <w:rPr>
          <w:szCs w:val="24"/>
        </w:rPr>
      </w:pPr>
      <w:r>
        <w:rPr>
          <w:rFonts w:hint="eastAsia"/>
          <w:szCs w:val="24"/>
        </w:rPr>
        <w:t>27.1 政府采购项目的采购合同内容的确定应以磋商文件和响应文件为基础，不得违背其实质性内容。政府采购项目的采购合同自签订之日起七个工作日内，买方应当将合同副本报同级政府采购监督管理部门备案。合同将在双方签字盖章后开始生效。</w:t>
      </w:r>
    </w:p>
    <w:p>
      <w:pPr>
        <w:spacing w:line="360" w:lineRule="auto"/>
        <w:rPr>
          <w:rFonts w:ascii="宋体" w:hAnsi="宋体"/>
          <w:sz w:val="24"/>
        </w:rPr>
      </w:pPr>
      <w:r>
        <w:rPr>
          <w:rFonts w:hint="eastAsia" w:ascii="宋体" w:hAnsi="宋体"/>
          <w:sz w:val="24"/>
        </w:rPr>
        <w:t>27.2 本合同一式</w:t>
      </w:r>
      <w:r>
        <w:rPr>
          <w:rFonts w:hint="eastAsia" w:ascii="宋体" w:hAnsi="宋体"/>
          <w:sz w:val="24"/>
          <w:u w:val="single"/>
        </w:rPr>
        <w:t xml:space="preserve">  8 </w:t>
      </w:r>
      <w:r>
        <w:rPr>
          <w:rFonts w:hint="eastAsia" w:ascii="宋体" w:hAnsi="宋体"/>
          <w:sz w:val="24"/>
        </w:rPr>
        <w:t>份，具有同等法律效力。买方执</w:t>
      </w:r>
      <w:r>
        <w:rPr>
          <w:rFonts w:hint="eastAsia" w:ascii="宋体" w:hAnsi="宋体"/>
          <w:sz w:val="24"/>
          <w:u w:val="single"/>
        </w:rPr>
        <w:t xml:space="preserve"> 4 </w:t>
      </w:r>
      <w:r>
        <w:rPr>
          <w:rFonts w:hint="eastAsia" w:ascii="宋体" w:hAnsi="宋体"/>
          <w:sz w:val="24"/>
        </w:rPr>
        <w:t>份，卖方,执</w:t>
      </w:r>
      <w:r>
        <w:rPr>
          <w:rFonts w:hint="eastAsia" w:ascii="宋体" w:hAnsi="宋体"/>
          <w:sz w:val="24"/>
          <w:u w:val="single"/>
        </w:rPr>
        <w:t xml:space="preserve">  2 </w:t>
      </w:r>
      <w:r>
        <w:rPr>
          <w:rFonts w:hint="eastAsia" w:ascii="宋体" w:hAnsi="宋体"/>
          <w:sz w:val="24"/>
        </w:rPr>
        <w:t>份，采购代理机构执</w:t>
      </w:r>
      <w:r>
        <w:rPr>
          <w:rFonts w:hint="eastAsia" w:ascii="宋体" w:hAnsi="宋体"/>
          <w:sz w:val="24"/>
          <w:u w:val="single"/>
        </w:rPr>
        <w:t xml:space="preserve"> 2 </w:t>
      </w:r>
      <w:r>
        <w:rPr>
          <w:rFonts w:hint="eastAsia" w:ascii="宋体" w:hAnsi="宋体"/>
          <w:sz w:val="24"/>
        </w:rPr>
        <w:t>份。</w:t>
      </w:r>
    </w:p>
    <w:p>
      <w:pPr>
        <w:spacing w:line="360" w:lineRule="auto"/>
        <w:rPr>
          <w:rFonts w:ascii="宋体" w:hAnsi="宋体"/>
          <w:sz w:val="24"/>
        </w:rPr>
      </w:pPr>
    </w:p>
    <w:p>
      <w:pPr>
        <w:spacing w:line="360" w:lineRule="auto"/>
        <w:rPr>
          <w:rFonts w:ascii="宋体" w:hAnsi="宋体"/>
          <w:sz w:val="24"/>
        </w:rPr>
      </w:pPr>
    </w:p>
    <w:p>
      <w:pPr>
        <w:pStyle w:val="19"/>
      </w:pPr>
    </w:p>
    <w:p>
      <w:pPr>
        <w:widowControl/>
        <w:jc w:val="left"/>
        <w:rPr>
          <w:rFonts w:hAnsi="宋体"/>
          <w:b/>
          <w:bCs/>
          <w:color w:val="000000"/>
          <w:kern w:val="44"/>
          <w:sz w:val="28"/>
          <w:lang w:val="zh-CN"/>
        </w:rPr>
      </w:pPr>
    </w:p>
    <w:p>
      <w:pPr>
        <w:spacing w:line="360" w:lineRule="auto"/>
        <w:jc w:val="center"/>
      </w:pPr>
      <w:r>
        <w:rPr>
          <w:rFonts w:hint="eastAsia"/>
          <w:b/>
          <w:bCs/>
          <w:sz w:val="28"/>
          <w:szCs w:val="28"/>
        </w:rPr>
        <w:t>合同专用条款</w:t>
      </w:r>
    </w:p>
    <w:p>
      <w:pPr>
        <w:spacing w:line="360" w:lineRule="auto"/>
        <w:ind w:firstLine="454"/>
        <w:rPr>
          <w:rFonts w:ascii="宋体" w:hAnsi="宋体"/>
          <w:sz w:val="24"/>
        </w:rPr>
      </w:pPr>
      <w:r>
        <w:rPr>
          <w:rFonts w:hint="eastAsia" w:ascii="宋体" w:hAnsi="宋体"/>
          <w:sz w:val="24"/>
        </w:rPr>
        <w:t>合同专用条款是合同一般条款的补充和修改。如果两者之间有抵触，应以专用条款为准。合同专用条款的序号将与合同一般条款序号相对应。</w:t>
      </w:r>
    </w:p>
    <w:p>
      <w:pPr>
        <w:spacing w:line="360" w:lineRule="auto"/>
        <w:rPr>
          <w:rFonts w:ascii="宋体" w:hAnsi="宋体"/>
          <w:sz w:val="24"/>
        </w:rPr>
      </w:pPr>
      <w:r>
        <w:rPr>
          <w:rFonts w:hint="eastAsia" w:ascii="宋体" w:hAnsi="宋体"/>
          <w:sz w:val="24"/>
        </w:rPr>
        <w:t>1、定义</w:t>
      </w:r>
    </w:p>
    <w:p>
      <w:pPr>
        <w:spacing w:line="360" w:lineRule="auto"/>
        <w:rPr>
          <w:rFonts w:ascii="宋体" w:hAnsi="宋体"/>
          <w:sz w:val="24"/>
          <w:u w:val="single"/>
        </w:rPr>
      </w:pPr>
      <w:r>
        <w:rPr>
          <w:rFonts w:hint="eastAsia" w:ascii="宋体" w:hAnsi="宋体"/>
          <w:sz w:val="24"/>
        </w:rPr>
        <w:t>1.5买方：本合同买方系指：华北电力大学</w:t>
      </w:r>
    </w:p>
    <w:p>
      <w:pPr>
        <w:spacing w:line="360" w:lineRule="auto"/>
        <w:rPr>
          <w:rFonts w:ascii="宋体" w:hAnsi="宋体"/>
          <w:sz w:val="24"/>
        </w:rPr>
      </w:pPr>
      <w:r>
        <w:rPr>
          <w:rFonts w:hint="eastAsia" w:ascii="宋体" w:hAnsi="宋体"/>
          <w:sz w:val="24"/>
        </w:rPr>
        <w:t>1.6卖方：本合同卖方系指：中标人</w:t>
      </w:r>
    </w:p>
    <w:p>
      <w:pPr>
        <w:spacing w:line="360" w:lineRule="auto"/>
        <w:ind w:left="-2" w:leftChars="-1"/>
        <w:rPr>
          <w:rFonts w:ascii="宋体" w:hAnsi="宋体"/>
          <w:sz w:val="24"/>
        </w:rPr>
      </w:pPr>
      <w:r>
        <w:rPr>
          <w:rFonts w:hint="eastAsia" w:ascii="宋体" w:hAnsi="宋体"/>
          <w:sz w:val="24"/>
        </w:rPr>
        <w:t>1.7现场：本合同项下的服务地点位于：</w:t>
      </w:r>
      <w:r>
        <w:rPr>
          <w:rFonts w:hint="eastAsia" w:ascii="宋体" w:hAnsi="宋体"/>
          <w:sz w:val="24"/>
          <w:u w:val="single"/>
        </w:rPr>
        <w:t>用户指定地点</w:t>
      </w:r>
    </w:p>
    <w:p>
      <w:pPr>
        <w:spacing w:line="360" w:lineRule="auto"/>
        <w:ind w:left="-2" w:leftChars="-1"/>
        <w:rPr>
          <w:rFonts w:ascii="宋体" w:hAnsi="宋体"/>
          <w:sz w:val="24"/>
        </w:rPr>
      </w:pPr>
      <w:r>
        <w:rPr>
          <w:rFonts w:hint="eastAsia" w:ascii="宋体" w:hAnsi="宋体"/>
          <w:sz w:val="24"/>
        </w:rPr>
        <w:t>6、交货时间：签订合同后</w:t>
      </w:r>
      <w:r>
        <w:rPr>
          <w:rFonts w:hint="eastAsia" w:ascii="宋体" w:hAnsi="宋体"/>
          <w:sz w:val="24"/>
          <w:u w:val="single"/>
        </w:rPr>
        <w:t xml:space="preserve"> 50 </w:t>
      </w:r>
      <w:r>
        <w:rPr>
          <w:rFonts w:hint="eastAsia" w:ascii="宋体" w:hAnsi="宋体"/>
          <w:sz w:val="24"/>
        </w:rPr>
        <w:t>个日历日内完成交货、安装、调试。</w:t>
      </w:r>
    </w:p>
    <w:p>
      <w:pPr>
        <w:spacing w:line="360" w:lineRule="auto"/>
        <w:rPr>
          <w:rFonts w:ascii="宋体" w:hAnsi="宋体"/>
          <w:sz w:val="24"/>
        </w:rPr>
      </w:pPr>
      <w:r>
        <w:rPr>
          <w:rFonts w:hint="eastAsia" w:ascii="宋体" w:hAnsi="宋体"/>
          <w:sz w:val="24"/>
        </w:rPr>
        <w:t>9、付款条件：</w:t>
      </w:r>
    </w:p>
    <w:p>
      <w:pPr>
        <w:spacing w:line="360" w:lineRule="auto"/>
        <w:ind w:left="-2" w:leftChars="-1"/>
        <w:rPr>
          <w:rFonts w:ascii="宋体" w:hAnsi="宋体"/>
          <w:sz w:val="24"/>
          <w:highlight w:val="none"/>
        </w:rPr>
      </w:pPr>
      <w:r>
        <w:rPr>
          <w:rFonts w:hint="eastAsia" w:ascii="宋体" w:hAnsi="宋体"/>
          <w:sz w:val="24"/>
          <w:highlight w:val="none"/>
        </w:rPr>
        <w:t>1、合同生效后10个工作日内支付合同总价的30%，货物全部验收通过后再支付合同总价的60％，其余10%作为质量保证金，质保金每年返还金额：总质保金/质保期限为一年。</w:t>
      </w:r>
    </w:p>
    <w:p>
      <w:pPr>
        <w:spacing w:line="360" w:lineRule="auto"/>
        <w:ind w:left="-2" w:leftChars="-1"/>
        <w:rPr>
          <w:rFonts w:ascii="宋体" w:hAnsi="宋体"/>
          <w:sz w:val="24"/>
          <w:highlight w:val="none"/>
        </w:rPr>
      </w:pPr>
      <w:r>
        <w:rPr>
          <w:rFonts w:hint="eastAsia" w:ascii="宋体" w:hAnsi="宋体"/>
          <w:sz w:val="24"/>
          <w:highlight w:val="none"/>
        </w:rPr>
        <w:t>2、收到货物后30日之内，供方需提供正规货物全额发票。</w:t>
      </w:r>
    </w:p>
    <w:p>
      <w:pPr>
        <w:snapToGrid w:val="0"/>
        <w:spacing w:before="119" w:line="331" w:lineRule="auto"/>
        <w:rPr>
          <w:rFonts w:ascii="宋体" w:hAnsi="宋体"/>
          <w:sz w:val="24"/>
          <w:highlight w:val="none"/>
        </w:rPr>
      </w:pPr>
      <w:r>
        <w:rPr>
          <w:rFonts w:hint="eastAsia" w:ascii="宋体" w:hAnsi="宋体"/>
          <w:sz w:val="24"/>
          <w:highlight w:val="none"/>
        </w:rPr>
        <w:t>11、质保期：</w:t>
      </w:r>
    </w:p>
    <w:p>
      <w:pPr>
        <w:snapToGrid w:val="0"/>
        <w:spacing w:before="119" w:line="331" w:lineRule="auto"/>
        <w:rPr>
          <w:rFonts w:ascii="宋体" w:hAnsi="宋体"/>
          <w:sz w:val="24"/>
        </w:rPr>
      </w:pPr>
      <w:r>
        <w:rPr>
          <w:rFonts w:hint="eastAsia" w:ascii="宋体" w:hAnsi="宋体"/>
          <w:sz w:val="24"/>
        </w:rPr>
        <w:t>11.1    卖方在收到通知后天内应免费维修或更换有缺陷的货物或部件。</w:t>
      </w:r>
    </w:p>
    <w:p>
      <w:pPr>
        <w:snapToGrid w:val="0"/>
        <w:spacing w:before="119" w:line="331" w:lineRule="auto"/>
        <w:ind w:left="958" w:hanging="952"/>
        <w:rPr>
          <w:rFonts w:ascii="宋体" w:hAnsi="宋体"/>
          <w:sz w:val="24"/>
        </w:rPr>
      </w:pPr>
      <w:r>
        <w:rPr>
          <w:rFonts w:hint="eastAsia" w:ascii="宋体" w:hAnsi="宋体"/>
          <w:sz w:val="24"/>
        </w:rPr>
        <w:t>11.2    如果卖方在收到通知后天内没有弥补缺陷，买方可采取必要的补救措施，但风险和费用将由卖方承担。</w:t>
      </w:r>
    </w:p>
    <w:p>
      <w:pPr>
        <w:pStyle w:val="19"/>
        <w:spacing w:line="360" w:lineRule="auto"/>
        <w:ind w:left="0" w:leftChars="0" w:firstLine="0" w:firstLineChars="0"/>
        <w:rPr>
          <w:rFonts w:ascii="宋体" w:hAnsi="宋体"/>
          <w:sz w:val="24"/>
        </w:rPr>
      </w:pPr>
      <w:r>
        <w:rPr>
          <w:rFonts w:hint="eastAsia" w:ascii="宋体" w:hAnsi="宋体"/>
          <w:sz w:val="24"/>
        </w:rPr>
        <w:t>11.3    质量保证期：</w:t>
      </w:r>
      <w:r>
        <w:rPr>
          <w:rFonts w:hint="eastAsia" w:ascii="宋体" w:hAnsi="宋体"/>
          <w:kern w:val="3"/>
          <w:sz w:val="24"/>
          <w:szCs w:val="24"/>
        </w:rPr>
        <w:t>质保期不小于</w:t>
      </w:r>
      <w:r>
        <w:rPr>
          <w:rFonts w:hint="eastAsia" w:ascii="宋体" w:hAnsi="宋体"/>
          <w:kern w:val="3"/>
          <w:sz w:val="24"/>
          <w:szCs w:val="24"/>
          <w:lang w:val="en-US"/>
        </w:rPr>
        <w:t>3</w:t>
      </w:r>
      <w:r>
        <w:rPr>
          <w:rFonts w:hint="eastAsia" w:ascii="宋体" w:hAnsi="宋体"/>
          <w:kern w:val="3"/>
          <w:sz w:val="24"/>
          <w:szCs w:val="24"/>
        </w:rPr>
        <w:t>年，售后服务人员不少于2名，事故响应到达现场不大于2小时</w:t>
      </w:r>
      <w:r>
        <w:rPr>
          <w:rFonts w:hint="eastAsia" w:ascii="宋体" w:hAnsi="宋体"/>
          <w:sz w:val="24"/>
        </w:rPr>
        <w:t>。（如有特殊要求，则以“采购需求”中的要求为准）</w:t>
      </w:r>
    </w:p>
    <w:p>
      <w:pPr>
        <w:spacing w:line="360" w:lineRule="auto"/>
        <w:rPr>
          <w:rFonts w:ascii="宋体" w:hAnsi="宋体"/>
          <w:sz w:val="24"/>
        </w:rPr>
      </w:pPr>
      <w:r>
        <w:rPr>
          <w:rFonts w:hint="eastAsia" w:ascii="宋体" w:hAnsi="宋体"/>
          <w:sz w:val="24"/>
        </w:rPr>
        <w:t>12、验收标准：在用户和卖方技术人员双方确认设备的各项功能均已达到技术要求后，双方对设备进行验收，签署验收报告。</w:t>
      </w:r>
    </w:p>
    <w:p>
      <w:pPr>
        <w:pStyle w:val="19"/>
        <w:spacing w:line="360" w:lineRule="auto"/>
        <w:ind w:left="0" w:leftChars="0" w:firstLine="0" w:firstLineChars="0"/>
        <w:rPr>
          <w:rFonts w:ascii="宋体" w:hAnsi="宋体"/>
          <w:sz w:val="24"/>
        </w:rPr>
      </w:pPr>
      <w:r>
        <w:rPr>
          <w:rFonts w:hint="eastAsia" w:ascii="宋体" w:hAnsi="宋体"/>
          <w:sz w:val="24"/>
        </w:rPr>
        <w:t>13、提交履约保证金的时间：签订合同后</w:t>
      </w:r>
      <w:r>
        <w:rPr>
          <w:rFonts w:hint="eastAsia" w:ascii="宋体" w:hAnsi="宋体"/>
          <w:kern w:val="3"/>
          <w:sz w:val="24"/>
          <w:szCs w:val="24"/>
          <w:u w:val="single"/>
        </w:rPr>
        <w:t xml:space="preserve">  </w:t>
      </w:r>
      <w:r>
        <w:rPr>
          <w:rFonts w:hint="eastAsia" w:ascii="宋体" w:hAnsi="宋体"/>
          <w:kern w:val="3"/>
          <w:sz w:val="24"/>
          <w:szCs w:val="24"/>
          <w:u w:val="single"/>
          <w:lang w:val="en-US"/>
        </w:rPr>
        <w:t>/</w:t>
      </w:r>
      <w:r>
        <w:rPr>
          <w:rFonts w:hint="eastAsia" w:ascii="宋体" w:hAnsi="宋体"/>
          <w:kern w:val="3"/>
          <w:sz w:val="24"/>
          <w:szCs w:val="24"/>
          <w:u w:val="single"/>
        </w:rPr>
        <w:t xml:space="preserve">  </w:t>
      </w:r>
      <w:r>
        <w:rPr>
          <w:rFonts w:hint="eastAsia" w:ascii="宋体" w:hAnsi="宋体"/>
          <w:sz w:val="24"/>
        </w:rPr>
        <w:t>天（不超过30天）</w:t>
      </w:r>
    </w:p>
    <w:p>
      <w:pPr>
        <w:pStyle w:val="19"/>
        <w:spacing w:line="360" w:lineRule="auto"/>
        <w:ind w:left="0" w:leftChars="0" w:firstLine="0" w:firstLineChars="0"/>
        <w:rPr>
          <w:rFonts w:ascii="宋体" w:hAnsi="宋体"/>
          <w:sz w:val="24"/>
        </w:rPr>
      </w:pPr>
      <w:r>
        <w:rPr>
          <w:rFonts w:hint="eastAsia" w:ascii="宋体" w:hAnsi="宋体"/>
          <w:sz w:val="24"/>
        </w:rPr>
        <w:t xml:space="preserve">        履约保证金金额：合同总价的</w:t>
      </w:r>
      <w:r>
        <w:rPr>
          <w:rFonts w:hint="eastAsia" w:ascii="宋体" w:hAnsi="宋体"/>
          <w:kern w:val="3"/>
          <w:sz w:val="24"/>
          <w:szCs w:val="24"/>
          <w:u w:val="single"/>
        </w:rPr>
        <w:t xml:space="preserve">   </w:t>
      </w:r>
      <w:r>
        <w:rPr>
          <w:rFonts w:hint="eastAsia" w:ascii="宋体" w:hAnsi="宋体"/>
          <w:kern w:val="3"/>
          <w:sz w:val="24"/>
          <w:szCs w:val="24"/>
          <w:u w:val="single"/>
          <w:lang w:val="en-US"/>
        </w:rPr>
        <w:t>/</w:t>
      </w:r>
      <w:r>
        <w:rPr>
          <w:rFonts w:hint="eastAsia" w:ascii="宋体" w:hAnsi="宋体"/>
          <w:kern w:val="3"/>
          <w:sz w:val="24"/>
          <w:szCs w:val="24"/>
          <w:u w:val="single"/>
        </w:rPr>
        <w:t xml:space="preserve">    </w:t>
      </w:r>
      <w:r>
        <w:rPr>
          <w:rFonts w:hint="eastAsia" w:ascii="宋体" w:hAnsi="宋体"/>
          <w:sz w:val="24"/>
        </w:rPr>
        <w:t>（不超过5%）</w:t>
      </w:r>
    </w:p>
    <w:p>
      <w:pPr>
        <w:snapToGrid w:val="0"/>
        <w:spacing w:before="119" w:line="331" w:lineRule="auto"/>
        <w:rPr>
          <w:rFonts w:ascii="宋体" w:hAnsi="宋体"/>
          <w:b/>
          <w:szCs w:val="21"/>
        </w:rPr>
      </w:pPr>
    </w:p>
    <w:p>
      <w:pPr>
        <w:widowControl/>
        <w:jc w:val="left"/>
        <w:rPr>
          <w:rFonts w:ascii="宋体" w:hAnsi="宋体"/>
          <w:b/>
          <w:szCs w:val="21"/>
        </w:rPr>
      </w:pPr>
    </w:p>
    <w:p/>
    <w:bookmarkEnd w:id="300"/>
    <w:bookmarkEnd w:id="301"/>
    <w:bookmarkEnd w:id="302"/>
    <w:bookmarkEnd w:id="311"/>
    <w:p>
      <w:pPr>
        <w:pStyle w:val="3"/>
      </w:pPr>
      <w:bookmarkStart w:id="500" w:name="_Toc12896"/>
      <w:bookmarkStart w:id="501" w:name="_Toc7969"/>
      <w:bookmarkStart w:id="502" w:name="_Toc40111031"/>
      <w:bookmarkStart w:id="503" w:name="_Toc5895213"/>
      <w:r>
        <w:rPr>
          <w:rFonts w:hint="eastAsia"/>
        </w:rPr>
        <w:t>第七章 投标文件格式</w:t>
      </w:r>
      <w:bookmarkEnd w:id="303"/>
      <w:bookmarkEnd w:id="500"/>
      <w:bookmarkEnd w:id="501"/>
      <w:bookmarkEnd w:id="502"/>
      <w:bookmarkEnd w:id="503"/>
    </w:p>
    <w:p>
      <w:pPr>
        <w:pStyle w:val="4"/>
      </w:pPr>
      <w:bookmarkStart w:id="504" w:name="_Toc5895214"/>
      <w:bookmarkStart w:id="505" w:name="_Toc40111032"/>
      <w:bookmarkStart w:id="506" w:name="_Toc523911431"/>
      <w:bookmarkStart w:id="507" w:name="_Toc24527"/>
      <w:bookmarkStart w:id="508" w:name="_Toc497842879"/>
      <w:bookmarkStart w:id="509" w:name="_Toc507"/>
      <w:bookmarkStart w:id="510" w:name="_Toc509828980"/>
      <w:bookmarkStart w:id="511" w:name="_Toc40114231"/>
      <w:bookmarkStart w:id="512" w:name="_Hlk515386850"/>
      <w:r>
        <w:rPr>
          <w:rFonts w:hint="eastAsia"/>
        </w:rPr>
        <w:t>一、投标文件资格册</w:t>
      </w:r>
      <w:bookmarkEnd w:id="504"/>
      <w:bookmarkEnd w:id="505"/>
      <w:bookmarkEnd w:id="506"/>
      <w:bookmarkEnd w:id="507"/>
      <w:bookmarkEnd w:id="508"/>
      <w:bookmarkEnd w:id="509"/>
      <w:bookmarkEnd w:id="510"/>
      <w:bookmarkEnd w:id="511"/>
    </w:p>
    <w:p>
      <w:pPr>
        <w:snapToGrid w:val="0"/>
        <w:spacing w:line="360" w:lineRule="auto"/>
        <w:rPr>
          <w:rFonts w:ascii="宋体" w:hAnsi="宋体"/>
          <w:sz w:val="24"/>
        </w:rPr>
      </w:pPr>
      <w:r>
        <w:rPr>
          <w:rFonts w:hint="eastAsia" w:ascii="宋体" w:hAnsi="宋体"/>
          <w:sz w:val="24"/>
        </w:rPr>
        <w:t>1. 三证合一的营业执照或事业单位法人证书复印件；投标人是自然人的，应提供其有效的自然身份证明复印件。</w:t>
      </w:r>
    </w:p>
    <w:p>
      <w:pPr>
        <w:snapToGrid w:val="0"/>
        <w:spacing w:line="360" w:lineRule="auto"/>
        <w:rPr>
          <w:rFonts w:ascii="宋体" w:hAnsi="宋体"/>
          <w:sz w:val="24"/>
        </w:rPr>
      </w:pPr>
      <w:r>
        <w:rPr>
          <w:rFonts w:hint="eastAsia" w:ascii="宋体" w:hAnsi="宋体"/>
          <w:sz w:val="24"/>
        </w:rPr>
        <w:t xml:space="preserve"> 注：①事业人单位提供《事业单位法人证书》、民办非企业单位提供《民办非企业单位登记证书》复印件。</w:t>
      </w:r>
    </w:p>
    <w:p>
      <w:pPr>
        <w:snapToGrid w:val="0"/>
        <w:spacing w:line="360" w:lineRule="auto"/>
        <w:ind w:firstLine="566" w:firstLineChars="236"/>
        <w:rPr>
          <w:rFonts w:ascii="宋体" w:hAnsi="宋体"/>
          <w:sz w:val="24"/>
        </w:rPr>
      </w:pPr>
      <w:r>
        <w:rPr>
          <w:rFonts w:hint="eastAsia" w:ascii="宋体" w:hAnsi="宋体"/>
          <w:sz w:val="24"/>
        </w:rPr>
        <w:t>②提供的复印件须加盖本单位公章。</w:t>
      </w:r>
    </w:p>
    <w:p>
      <w:pPr>
        <w:snapToGrid w:val="0"/>
        <w:spacing w:line="360" w:lineRule="auto"/>
        <w:ind w:firstLine="566" w:firstLineChars="236"/>
        <w:rPr>
          <w:rFonts w:ascii="宋体" w:hAnsi="宋体"/>
          <w:sz w:val="24"/>
        </w:rPr>
      </w:pPr>
      <w:r>
        <w:rPr>
          <w:rFonts w:hint="eastAsia" w:ascii="宋体" w:hAnsi="宋体"/>
          <w:sz w:val="24"/>
        </w:rPr>
        <w:t>2.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p>
      <w:pPr>
        <w:snapToGrid w:val="0"/>
        <w:spacing w:line="360" w:lineRule="auto"/>
        <w:rPr>
          <w:rFonts w:ascii="宋体" w:hAnsi="宋体"/>
          <w:sz w:val="24"/>
        </w:rPr>
      </w:pPr>
      <w:r>
        <w:rPr>
          <w:rFonts w:hint="eastAsia" w:ascii="宋体" w:hAnsi="宋体"/>
          <w:sz w:val="24"/>
        </w:rPr>
        <w:t>3.投标人提供经会计师事务所出具的2020年度或2021年度财务审计报告（须包含资产负债表、利润表、现金流量表及财务报表附注）复印件（须加盖本单位公章）。如投标人无法提供2020年度或2021年度的财务审计报告，则须提供银行出具的有效资信证明。</w:t>
      </w:r>
    </w:p>
    <w:p>
      <w:pPr>
        <w:snapToGrid w:val="0"/>
        <w:spacing w:line="360" w:lineRule="auto"/>
        <w:rPr>
          <w:rFonts w:ascii="宋体" w:hAnsi="宋体"/>
          <w:sz w:val="24"/>
        </w:rPr>
      </w:pPr>
      <w:r>
        <w:rPr>
          <w:rFonts w:hint="eastAsia" w:ascii="宋体" w:hAnsi="宋体"/>
          <w:sz w:val="24"/>
        </w:rPr>
        <w:t>说明：1、银行资信证明是指投标人参加本次投标截止日前一年内银行出具的资信证明（成立一年内的公司可提交验资证明复印件并加盖投标人公章）,且无收受人和项目的限制，但开具银行有限制规定的除外；</w:t>
      </w:r>
    </w:p>
    <w:p>
      <w:pPr>
        <w:snapToGrid w:val="0"/>
        <w:spacing w:line="360" w:lineRule="auto"/>
        <w:ind w:firstLine="708" w:firstLineChars="295"/>
        <w:rPr>
          <w:rFonts w:ascii="宋体" w:hAnsi="宋体"/>
          <w:sz w:val="24"/>
        </w:rPr>
      </w:pPr>
      <w:r>
        <w:rPr>
          <w:rFonts w:hint="eastAsia" w:ascii="宋体" w:hAnsi="宋体"/>
          <w:sz w:val="24"/>
        </w:rPr>
        <w:t>2、银行资信证明可以是复印件(须加盖投标人公章)；</w:t>
      </w:r>
    </w:p>
    <w:p>
      <w:pPr>
        <w:snapToGrid w:val="0"/>
        <w:spacing w:line="360" w:lineRule="auto"/>
        <w:ind w:firstLine="708" w:firstLineChars="295"/>
        <w:rPr>
          <w:rFonts w:ascii="宋体" w:hAnsi="宋体"/>
          <w:sz w:val="24"/>
        </w:rPr>
      </w:pPr>
      <w:r>
        <w:rPr>
          <w:rFonts w:hint="eastAsia" w:ascii="宋体" w:hAnsi="宋体"/>
          <w:sz w:val="24"/>
        </w:rPr>
        <w:t>3、银行资信证明的开具银行明确规定背面有声明的，须提供资信证明背面复印件；</w:t>
      </w:r>
    </w:p>
    <w:p>
      <w:pPr>
        <w:snapToGrid w:val="0"/>
        <w:spacing w:line="360" w:lineRule="auto"/>
        <w:ind w:firstLine="708" w:firstLineChars="295"/>
        <w:rPr>
          <w:rFonts w:ascii="宋体" w:hAnsi="宋体"/>
          <w:sz w:val="24"/>
        </w:rPr>
      </w:pPr>
      <w:r>
        <w:rPr>
          <w:rFonts w:hint="eastAsia" w:ascii="宋体" w:hAnsi="宋体"/>
          <w:sz w:val="24"/>
        </w:rPr>
        <w:t>4、银行资信证明应能说明该投标人与银行之间业务往来正常，企业信誉良好等；</w:t>
      </w:r>
    </w:p>
    <w:p>
      <w:pPr>
        <w:snapToGrid w:val="0"/>
        <w:spacing w:line="360" w:lineRule="auto"/>
        <w:ind w:firstLine="708" w:firstLineChars="295"/>
        <w:rPr>
          <w:rFonts w:ascii="宋体" w:hAnsi="宋体"/>
          <w:sz w:val="24"/>
        </w:rPr>
      </w:pPr>
      <w:r>
        <w:rPr>
          <w:rFonts w:hint="eastAsia" w:ascii="宋体" w:hAnsi="宋体"/>
          <w:sz w:val="24"/>
        </w:rPr>
        <w:t>5、银行出具的存款证明不能替代银行资信证明，存款证明无效。</w:t>
      </w:r>
    </w:p>
    <w:p>
      <w:pPr>
        <w:snapToGrid w:val="0"/>
        <w:spacing w:line="360" w:lineRule="auto"/>
        <w:rPr>
          <w:rFonts w:ascii="宋体" w:hAnsi="宋体"/>
          <w:sz w:val="24"/>
        </w:rPr>
      </w:pPr>
      <w:r>
        <w:rPr>
          <w:rFonts w:hint="eastAsia" w:ascii="宋体" w:hAnsi="宋体"/>
          <w:sz w:val="24"/>
        </w:rPr>
        <w:t>4. 有依法缴纳社会保障资金的良好记录（投标人逐月交纳社会保障资金的，须提供参加本次政府采购活动近</w:t>
      </w:r>
      <w:r>
        <w:rPr>
          <w:rFonts w:hint="eastAsia" w:asciiTheme="minorEastAsia" w:hAnsiTheme="minorEastAsia" w:eastAsiaTheme="minorEastAsia"/>
          <w:sz w:val="24"/>
        </w:rPr>
        <w:t>半年内任意一个月</w:t>
      </w:r>
      <w:r>
        <w:rPr>
          <w:rFonts w:hint="eastAsia" w:ascii="宋体" w:hAnsi="宋体"/>
          <w:sz w:val="24"/>
        </w:rPr>
        <w:t>由银行出具的社会保障资金缴费凭证复印件（须加盖本单位公章）；投标人逐年缴纳社会保障资金的，须提供参加本次政府采购活动上年度由银行出具的社会保障资金缴费凭证复印件（须加盖本单位公章）。</w:t>
      </w:r>
    </w:p>
    <w:p>
      <w:pPr>
        <w:snapToGrid w:val="0"/>
        <w:spacing w:line="360" w:lineRule="auto"/>
        <w:rPr>
          <w:rFonts w:ascii="宋体" w:hAnsi="宋体"/>
          <w:sz w:val="24"/>
        </w:rPr>
      </w:pPr>
      <w:r>
        <w:rPr>
          <w:rFonts w:hint="eastAsia" w:ascii="宋体" w:hAnsi="宋体"/>
          <w:sz w:val="24"/>
        </w:rPr>
        <w:t>注：依法不需要缴纳社会保障资金的投标人，须提供相应文件证明。</w:t>
      </w:r>
    </w:p>
    <w:p>
      <w:pPr>
        <w:snapToGrid w:val="0"/>
        <w:spacing w:line="360" w:lineRule="auto"/>
        <w:rPr>
          <w:rFonts w:ascii="宋体" w:hAnsi="宋体"/>
          <w:sz w:val="24"/>
        </w:rPr>
      </w:pPr>
      <w:r>
        <w:rPr>
          <w:rFonts w:hint="eastAsia" w:ascii="宋体" w:hAnsi="宋体"/>
          <w:sz w:val="24"/>
        </w:rPr>
        <w:t>5. 有依法缴纳税收的良好记录（投标人提供参加本次政府采购活动近</w:t>
      </w:r>
      <w:r>
        <w:rPr>
          <w:rFonts w:hint="eastAsia" w:asciiTheme="minorEastAsia" w:hAnsiTheme="minorEastAsia" w:eastAsiaTheme="minorEastAsia"/>
          <w:sz w:val="24"/>
        </w:rPr>
        <w:t>半年内任意一个月</w:t>
      </w:r>
      <w:r>
        <w:rPr>
          <w:rFonts w:hint="eastAsia" w:ascii="宋体" w:hAnsi="宋体"/>
          <w:sz w:val="24"/>
        </w:rPr>
        <w:t>由银行出具的缴纳凭证复印件（须加盖本单位公章）</w:t>
      </w:r>
    </w:p>
    <w:p>
      <w:pPr>
        <w:snapToGrid w:val="0"/>
        <w:spacing w:line="360" w:lineRule="auto"/>
        <w:rPr>
          <w:rFonts w:ascii="宋体" w:hAnsi="宋体"/>
          <w:sz w:val="24"/>
        </w:rPr>
      </w:pPr>
      <w:r>
        <w:rPr>
          <w:rFonts w:hint="eastAsia" w:ascii="宋体" w:hAnsi="宋体"/>
          <w:sz w:val="24"/>
        </w:rPr>
        <w:t>注：依法免税或零报税的投标人，须提供相应文件证明。</w:t>
      </w:r>
    </w:p>
    <w:p>
      <w:pPr>
        <w:snapToGrid w:val="0"/>
        <w:spacing w:line="360" w:lineRule="auto"/>
        <w:rPr>
          <w:rFonts w:ascii="宋体" w:hAnsi="宋体"/>
          <w:sz w:val="24"/>
        </w:rPr>
      </w:pPr>
      <w:r>
        <w:rPr>
          <w:rFonts w:hint="eastAsia" w:ascii="宋体" w:hAnsi="宋体"/>
          <w:sz w:val="24"/>
        </w:rPr>
        <w:t>6.参加本次政府采购活动前三年内，在经营活动中没有重大违法记录的声明（投标人须提供此声明，法定代表人或其授权代表签字，并加盖本单位公章）</w:t>
      </w:r>
    </w:p>
    <w:p>
      <w:pPr>
        <w:snapToGrid w:val="0"/>
        <w:spacing w:line="360" w:lineRule="auto"/>
        <w:rPr>
          <w:rFonts w:ascii="宋体" w:hAnsi="宋体"/>
          <w:sz w:val="24"/>
        </w:rPr>
      </w:pPr>
      <w:r>
        <w:rPr>
          <w:rFonts w:hint="eastAsia" w:ascii="宋体" w:hAnsi="宋体"/>
          <w:sz w:val="24"/>
        </w:rPr>
        <w:t>7.投标人须承诺不同投标人的法人、单位负责人不是同一人也不存在直接控股、管理关系，须加盖本单位公章（格式自拟）</w:t>
      </w:r>
    </w:p>
    <w:p>
      <w:pPr>
        <w:snapToGrid w:val="0"/>
        <w:spacing w:line="360" w:lineRule="auto"/>
        <w:rPr>
          <w:rFonts w:ascii="宋体" w:hAnsi="宋体"/>
          <w:sz w:val="24"/>
        </w:rPr>
      </w:pPr>
      <w:r>
        <w:rPr>
          <w:rFonts w:hint="eastAsia" w:ascii="宋体" w:hAnsi="宋体"/>
          <w:sz w:val="24"/>
        </w:rPr>
        <w:t>8.投标人须承诺已向采购代理机构购买招标文件并登记备案，须加盖本单位公章（格式自拟）</w:t>
      </w:r>
    </w:p>
    <w:p>
      <w:pPr>
        <w:spacing w:line="360" w:lineRule="auto"/>
        <w:rPr>
          <w:rFonts w:ascii="宋体" w:hAnsi="宋体"/>
          <w:kern w:val="0"/>
          <w:sz w:val="24"/>
        </w:rPr>
      </w:pPr>
      <w:r>
        <w:rPr>
          <w:rFonts w:hint="eastAsia" w:ascii="宋体" w:hAnsi="宋体"/>
          <w:sz w:val="24"/>
        </w:rPr>
        <w:t>9.</w:t>
      </w:r>
      <w:r>
        <w:rPr>
          <w:rFonts w:hint="eastAsia" w:ascii="宋体" w:hAnsi="宋体"/>
          <w:kern w:val="0"/>
          <w:sz w:val="24"/>
        </w:rPr>
        <w:t>未被列入“信用中国”网站（www.creditchina.gov.cn）、中国政府采购网（www.ccgp.gov.cn）信用记录失信被执行人、重大税收违法案件当事人名单、政府采购严重违法失信行为记录名单。注：采购代理机构开标后查询结果页面打印并存档。</w:t>
      </w:r>
    </w:p>
    <w:p>
      <w:pPr>
        <w:widowControl/>
        <w:jc w:val="left"/>
        <w:rPr>
          <w:rFonts w:ascii="宋体" w:hAnsi="宋体"/>
          <w:sz w:val="24"/>
        </w:rPr>
      </w:pPr>
      <w:r>
        <w:rPr>
          <w:rFonts w:ascii="宋体" w:hAnsi="宋体"/>
          <w:sz w:val="24"/>
        </w:rPr>
        <w:br w:type="page"/>
      </w:r>
    </w:p>
    <w:p>
      <w:pPr>
        <w:rPr>
          <w:rFonts w:ascii="宋体" w:hAnsi="宋体"/>
          <w:b/>
          <w:sz w:val="24"/>
        </w:rPr>
      </w:pPr>
    </w:p>
    <w:p>
      <w:pPr>
        <w:spacing w:line="360" w:lineRule="auto"/>
        <w:jc w:val="center"/>
        <w:rPr>
          <w:rFonts w:ascii="宋体" w:hAnsi="宋体"/>
          <w:sz w:val="24"/>
        </w:rPr>
      </w:pPr>
      <w:r>
        <w:rPr>
          <w:rFonts w:hint="eastAsia" w:ascii="宋体" w:hAnsi="宋体"/>
          <w:sz w:val="24"/>
        </w:rPr>
        <w:t>2.法定代表人授权委托书（格式）</w:t>
      </w:r>
    </w:p>
    <w:p>
      <w:pPr>
        <w:pStyle w:val="12"/>
        <w:spacing w:line="360" w:lineRule="auto"/>
        <w:ind w:left="840" w:firstLine="480"/>
        <w:jc w:val="center"/>
        <w:rPr>
          <w:rFonts w:hAnsi="宋体"/>
          <w:sz w:val="24"/>
          <w:u w:val="single"/>
        </w:rPr>
      </w:pPr>
    </w:p>
    <w:p>
      <w:pPr>
        <w:pStyle w:val="12"/>
        <w:spacing w:line="360" w:lineRule="auto"/>
        <w:ind w:firstLine="480" w:firstLineChars="200"/>
        <w:rPr>
          <w:rFonts w:hAnsi="宋体"/>
          <w:sz w:val="24"/>
        </w:rPr>
      </w:pPr>
      <w:r>
        <w:rPr>
          <w:rFonts w:hint="eastAsia" w:hAnsi="宋体"/>
          <w:sz w:val="24"/>
        </w:rPr>
        <w:t>本授权书声明：注册于</w:t>
      </w:r>
      <w:r>
        <w:rPr>
          <w:rFonts w:hint="eastAsia" w:hAnsi="宋体"/>
          <w:i/>
          <w:sz w:val="24"/>
          <w:u w:val="single"/>
        </w:rPr>
        <w:t>（国家或地区的名称）</w:t>
      </w:r>
      <w:r>
        <w:rPr>
          <w:rFonts w:hint="eastAsia" w:hAnsi="宋体"/>
          <w:sz w:val="24"/>
        </w:rPr>
        <w:t>的</w:t>
      </w:r>
      <w:r>
        <w:rPr>
          <w:rFonts w:hint="eastAsia" w:hAnsi="宋体"/>
          <w:i/>
          <w:sz w:val="24"/>
          <w:u w:val="single"/>
        </w:rPr>
        <w:t>（公司名称）</w:t>
      </w:r>
      <w:r>
        <w:rPr>
          <w:rFonts w:hint="eastAsia" w:hAnsi="宋体"/>
          <w:sz w:val="24"/>
        </w:rPr>
        <w:t>的在下面签字的（</w:t>
      </w:r>
      <w:r>
        <w:rPr>
          <w:rFonts w:hint="eastAsia" w:hAnsi="宋体"/>
          <w:i/>
          <w:sz w:val="24"/>
          <w:u w:val="single"/>
        </w:rPr>
        <w:t>法定代表人姓名、职务</w:t>
      </w:r>
      <w:r>
        <w:rPr>
          <w:rFonts w:hint="eastAsia" w:hAnsi="宋体"/>
          <w:sz w:val="24"/>
        </w:rPr>
        <w:t>）代表本公司授权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为本公司的合法代理人，就</w:t>
      </w:r>
      <w:r>
        <w:rPr>
          <w:rFonts w:hint="eastAsia" w:hAnsi="宋体"/>
          <w:i/>
          <w:sz w:val="24"/>
          <w:u w:val="single"/>
        </w:rPr>
        <w:t>（项目名称）</w:t>
      </w:r>
      <w:r>
        <w:rPr>
          <w:rFonts w:hint="eastAsia" w:hAnsi="宋体"/>
          <w:sz w:val="24"/>
        </w:rPr>
        <w:t>投标，以本公司名义处理一切与之有关的事务。　　</w:t>
      </w:r>
    </w:p>
    <w:p>
      <w:pPr>
        <w:pStyle w:val="12"/>
        <w:tabs>
          <w:tab w:val="left" w:pos="5580"/>
        </w:tabs>
        <w:spacing w:line="360" w:lineRule="auto"/>
        <w:ind w:left="840" w:hanging="131"/>
        <w:rPr>
          <w:rFonts w:hAnsi="宋体"/>
          <w:sz w:val="24"/>
        </w:rPr>
      </w:pPr>
      <w:r>
        <w:rPr>
          <w:rFonts w:hint="eastAsia" w:hAnsi="宋体"/>
          <w:sz w:val="24"/>
        </w:rPr>
        <w:t>本授权书于     年    月    日至     年    月    日有效，特此声明。</w:t>
      </w:r>
    </w:p>
    <w:p>
      <w:pPr>
        <w:pStyle w:val="12"/>
        <w:tabs>
          <w:tab w:val="left" w:pos="5580"/>
        </w:tabs>
        <w:spacing w:line="360" w:lineRule="auto"/>
        <w:ind w:left="840" w:hanging="131"/>
        <w:rPr>
          <w:rFonts w:hAnsi="宋体"/>
          <w:sz w:val="24"/>
        </w:rPr>
      </w:pPr>
    </w:p>
    <w:p>
      <w:pPr>
        <w:pStyle w:val="12"/>
        <w:tabs>
          <w:tab w:val="left" w:pos="5580"/>
        </w:tabs>
        <w:spacing w:line="360" w:lineRule="auto"/>
        <w:ind w:left="840" w:hanging="131"/>
        <w:rPr>
          <w:rFonts w:hAnsi="宋体"/>
          <w:sz w:val="24"/>
        </w:rPr>
      </w:pPr>
    </w:p>
    <w:tbl>
      <w:tblPr>
        <w:tblStyle w:val="20"/>
        <w:tblW w:w="7993" w:type="dxa"/>
        <w:tblInd w:w="0" w:type="dxa"/>
        <w:tblLayout w:type="fixed"/>
        <w:tblCellMar>
          <w:top w:w="0" w:type="dxa"/>
          <w:left w:w="108" w:type="dxa"/>
          <w:bottom w:w="0" w:type="dxa"/>
          <w:right w:w="108" w:type="dxa"/>
        </w:tblCellMar>
      </w:tblPr>
      <w:tblGrid>
        <w:gridCol w:w="2943"/>
        <w:gridCol w:w="5050"/>
      </w:tblGrid>
      <w:tr>
        <w:trPr>
          <w:trHeight w:val="563" w:hRule="atLeast"/>
        </w:trPr>
        <w:tc>
          <w:tcPr>
            <w:tcW w:w="2943" w:type="dxa"/>
          </w:tcPr>
          <w:p>
            <w:pPr>
              <w:pStyle w:val="12"/>
              <w:tabs>
                <w:tab w:val="left" w:pos="5580"/>
              </w:tabs>
              <w:spacing w:line="360" w:lineRule="auto"/>
              <w:rPr>
                <w:rFonts w:hAnsi="宋体"/>
                <w:sz w:val="24"/>
              </w:rPr>
            </w:pPr>
            <w:r>
              <w:rPr>
                <w:rFonts w:hint="eastAsia" w:hAnsi="宋体"/>
                <w:sz w:val="24"/>
              </w:rPr>
              <w:t>法定代表人签字或盖章：</w:t>
            </w:r>
          </w:p>
        </w:tc>
        <w:tc>
          <w:tcPr>
            <w:tcW w:w="5050" w:type="dxa"/>
          </w:tcPr>
          <w:p>
            <w:pPr>
              <w:pStyle w:val="12"/>
              <w:tabs>
                <w:tab w:val="left" w:pos="5580"/>
              </w:tabs>
              <w:spacing w:line="360" w:lineRule="auto"/>
              <w:ind w:left="840" w:firstLine="480"/>
              <w:rPr>
                <w:rFonts w:hAnsi="宋体"/>
                <w:sz w:val="24"/>
                <w:u w:val="single"/>
              </w:rPr>
            </w:pPr>
          </w:p>
        </w:tc>
      </w:tr>
      <w:tr>
        <w:tblPrEx>
          <w:tblCellMar>
            <w:top w:w="0" w:type="dxa"/>
            <w:left w:w="108" w:type="dxa"/>
            <w:bottom w:w="0" w:type="dxa"/>
            <w:right w:w="108" w:type="dxa"/>
          </w:tblCellMar>
        </w:tblPrEx>
        <w:trPr>
          <w:trHeight w:val="563" w:hRule="atLeast"/>
        </w:trPr>
        <w:tc>
          <w:tcPr>
            <w:tcW w:w="2943" w:type="dxa"/>
          </w:tcPr>
          <w:p>
            <w:pPr>
              <w:pStyle w:val="12"/>
              <w:tabs>
                <w:tab w:val="left" w:pos="5580"/>
              </w:tabs>
              <w:spacing w:line="360" w:lineRule="auto"/>
              <w:rPr>
                <w:rFonts w:hAnsi="宋体"/>
                <w:sz w:val="24"/>
              </w:rPr>
            </w:pPr>
            <w:r>
              <w:rPr>
                <w:rFonts w:hint="eastAsia" w:hAnsi="宋体"/>
                <w:sz w:val="24"/>
              </w:rPr>
              <w:t>授权代表签字：</w:t>
            </w:r>
          </w:p>
        </w:tc>
        <w:tc>
          <w:tcPr>
            <w:tcW w:w="5050" w:type="dxa"/>
          </w:tcPr>
          <w:p>
            <w:pPr>
              <w:pStyle w:val="12"/>
              <w:tabs>
                <w:tab w:val="left" w:pos="5580"/>
              </w:tabs>
              <w:spacing w:line="360" w:lineRule="auto"/>
              <w:ind w:left="840" w:firstLine="480"/>
              <w:rPr>
                <w:rFonts w:hAnsi="宋体"/>
                <w:sz w:val="24"/>
                <w:u w:val="single"/>
              </w:rPr>
            </w:pPr>
          </w:p>
        </w:tc>
      </w:tr>
      <w:tr>
        <w:trPr>
          <w:trHeight w:val="563" w:hRule="atLeast"/>
        </w:trPr>
        <w:tc>
          <w:tcPr>
            <w:tcW w:w="2943" w:type="dxa"/>
          </w:tcPr>
          <w:p>
            <w:pPr>
              <w:pStyle w:val="12"/>
              <w:tabs>
                <w:tab w:val="left" w:pos="5580"/>
              </w:tabs>
              <w:spacing w:line="360" w:lineRule="auto"/>
              <w:rPr>
                <w:rFonts w:hAnsi="宋体"/>
                <w:sz w:val="24"/>
              </w:rPr>
            </w:pPr>
            <w:r>
              <w:rPr>
                <w:rFonts w:hint="eastAsia" w:hAnsi="宋体"/>
                <w:sz w:val="24"/>
              </w:rPr>
              <w:t>投标人(盖章)：</w:t>
            </w:r>
          </w:p>
        </w:tc>
        <w:tc>
          <w:tcPr>
            <w:tcW w:w="5050" w:type="dxa"/>
          </w:tcPr>
          <w:p>
            <w:pPr>
              <w:pStyle w:val="12"/>
              <w:tabs>
                <w:tab w:val="left" w:pos="5580"/>
              </w:tabs>
              <w:spacing w:line="360" w:lineRule="auto"/>
              <w:ind w:left="840" w:firstLine="480"/>
              <w:rPr>
                <w:rFonts w:hAnsi="宋体"/>
                <w:sz w:val="24"/>
                <w:u w:val="single"/>
              </w:rPr>
            </w:pPr>
          </w:p>
        </w:tc>
      </w:tr>
    </w:tbl>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jc w:val="center"/>
        <w:rPr>
          <w:rFonts w:ascii="宋体" w:hAnsi="宋体"/>
          <w:sz w:val="24"/>
        </w:rPr>
      </w:pPr>
    </w:p>
    <w:p>
      <w:pPr>
        <w:spacing w:line="360" w:lineRule="auto"/>
        <w:jc w:val="center"/>
        <w:rPr>
          <w:rFonts w:ascii="宋体" w:hAnsi="宋体"/>
          <w:sz w:val="24"/>
        </w:rPr>
      </w:pPr>
    </w:p>
    <w:p>
      <w:pPr>
        <w:rPr>
          <w:rFonts w:ascii="宋体" w:hAnsi="宋体"/>
          <w:sz w:val="24"/>
        </w:rPr>
      </w:pPr>
      <w:r>
        <w:rPr>
          <w:rFonts w:hint="eastAsia" w:ascii="宋体" w:hAnsi="宋体"/>
          <w:sz w:val="24"/>
        </w:rPr>
        <w:br w:type="page"/>
      </w:r>
    </w:p>
    <w:p>
      <w:pPr>
        <w:spacing w:line="360" w:lineRule="auto"/>
        <w:rPr>
          <w:rFonts w:ascii="宋体" w:hAnsi="宋体"/>
          <w:sz w:val="24"/>
        </w:rPr>
      </w:pPr>
      <w:r>
        <w:rPr>
          <w:rFonts w:hint="eastAsia" w:ascii="宋体" w:hAnsi="宋体"/>
          <w:sz w:val="24"/>
        </w:rPr>
        <w:t>6.参加本次政府采购活动前三年内，在经营活动中没有重大违法记录的声明（投标人须提供此声明，法定代表人或其授权代表签字，并加盖本单位公章）。</w:t>
      </w:r>
    </w:p>
    <w:p>
      <w:pPr>
        <w:spacing w:line="360" w:lineRule="auto"/>
        <w:ind w:left="1044" w:leftChars="97" w:hanging="840" w:hangingChars="400"/>
        <w:rPr>
          <w:rFonts w:ascii="宋体" w:hAnsi="宋体"/>
        </w:rPr>
      </w:pPr>
    </w:p>
    <w:p>
      <w:pPr>
        <w:pStyle w:val="5"/>
        <w:spacing w:line="360" w:lineRule="auto"/>
        <w:ind w:firstLine="480"/>
        <w:rPr>
          <w:rFonts w:hAnsi="宋体"/>
        </w:rPr>
      </w:pPr>
      <w:r>
        <w:rPr>
          <w:rFonts w:hAnsi="宋体"/>
        </w:rPr>
        <w:t>致：</w:t>
      </w:r>
      <w:r>
        <w:rPr>
          <w:rFonts w:hint="eastAsia" w:hAnsi="宋体"/>
        </w:rPr>
        <w:t>（采购人/采购代理机构）</w:t>
      </w:r>
    </w:p>
    <w:p>
      <w:pPr>
        <w:pStyle w:val="5"/>
        <w:spacing w:line="360" w:lineRule="auto"/>
        <w:ind w:firstLine="480" w:firstLineChars="200"/>
        <w:rPr>
          <w:rFonts w:hAnsi="宋体"/>
        </w:rPr>
      </w:pPr>
    </w:p>
    <w:p>
      <w:pPr>
        <w:pStyle w:val="5"/>
        <w:spacing w:line="360" w:lineRule="auto"/>
        <w:ind w:firstLine="480" w:firstLineChars="200"/>
        <w:rPr>
          <w:rFonts w:hAnsi="宋体"/>
        </w:rPr>
      </w:pPr>
      <w:r>
        <w:rPr>
          <w:rFonts w:hAnsi="宋体"/>
        </w:rPr>
        <w:t>我公司在参加本次</w:t>
      </w:r>
      <w:r>
        <w:rPr>
          <w:rFonts w:hint="eastAsia" w:hAnsi="宋体"/>
        </w:rPr>
        <w:t>政府</w:t>
      </w:r>
      <w:r>
        <w:rPr>
          <w:rFonts w:hAnsi="宋体"/>
        </w:rPr>
        <w:t>采购活动前三年内，在经营活动中没有重大违法记录。</w:t>
      </w:r>
    </w:p>
    <w:p>
      <w:pPr>
        <w:pStyle w:val="5"/>
        <w:spacing w:line="360" w:lineRule="auto"/>
        <w:ind w:firstLine="480" w:firstLineChars="200"/>
        <w:rPr>
          <w:rFonts w:hAnsi="宋体"/>
        </w:rPr>
      </w:pPr>
      <w:r>
        <w:rPr>
          <w:rFonts w:hAnsi="宋体"/>
        </w:rPr>
        <w:t>特此声明。</w:t>
      </w:r>
    </w:p>
    <w:p>
      <w:pPr>
        <w:pStyle w:val="5"/>
        <w:spacing w:line="360" w:lineRule="auto"/>
        <w:ind w:firstLine="480" w:firstLineChars="200"/>
        <w:rPr>
          <w:rFonts w:hAnsi="宋体"/>
        </w:rPr>
      </w:pPr>
    </w:p>
    <w:p>
      <w:pPr>
        <w:pStyle w:val="5"/>
        <w:spacing w:line="360" w:lineRule="auto"/>
        <w:ind w:firstLine="480" w:firstLineChars="200"/>
        <w:rPr>
          <w:rFonts w:hAnsi="宋体"/>
        </w:rPr>
      </w:pPr>
    </w:p>
    <w:p>
      <w:pPr>
        <w:pStyle w:val="5"/>
        <w:spacing w:line="360" w:lineRule="auto"/>
        <w:ind w:firstLine="480" w:firstLineChars="200"/>
        <w:rPr>
          <w:rFonts w:hAnsi="宋体"/>
        </w:rPr>
      </w:pPr>
    </w:p>
    <w:p>
      <w:pPr>
        <w:pStyle w:val="5"/>
        <w:spacing w:line="360" w:lineRule="auto"/>
        <w:ind w:firstLine="480" w:firstLineChars="200"/>
        <w:jc w:val="center"/>
        <w:rPr>
          <w:rFonts w:hAnsi="宋体"/>
        </w:rPr>
      </w:pPr>
      <w:r>
        <w:rPr>
          <w:rFonts w:hint="eastAsia" w:hAnsi="宋体"/>
        </w:rPr>
        <w:t xml:space="preserve">  法定代表人或其授权代表签字：</w:t>
      </w:r>
    </w:p>
    <w:p>
      <w:pPr>
        <w:pStyle w:val="5"/>
        <w:spacing w:line="360" w:lineRule="auto"/>
        <w:ind w:firstLine="480" w:firstLineChars="200"/>
        <w:jc w:val="center"/>
        <w:rPr>
          <w:rFonts w:hAnsi="宋体"/>
        </w:rPr>
      </w:pPr>
      <w:r>
        <w:rPr>
          <w:rFonts w:hAnsi="宋体"/>
        </w:rPr>
        <w:t>投标人公章</w:t>
      </w:r>
    </w:p>
    <w:p>
      <w:pPr>
        <w:pStyle w:val="5"/>
        <w:spacing w:line="360" w:lineRule="auto"/>
        <w:ind w:firstLine="4260" w:firstLineChars="1775"/>
        <w:rPr>
          <w:rFonts w:hAnsi="宋体"/>
        </w:rPr>
      </w:pPr>
      <w:r>
        <w:rPr>
          <w:rFonts w:hAnsi="宋体"/>
        </w:rPr>
        <w:t>年</w:t>
      </w:r>
      <w:r>
        <w:rPr>
          <w:rFonts w:hint="eastAsia" w:hAnsi="宋体"/>
        </w:rPr>
        <w:t xml:space="preserve"> </w:t>
      </w:r>
      <w:r>
        <w:rPr>
          <w:rFonts w:hAnsi="宋体"/>
        </w:rPr>
        <w:t xml:space="preserve"> 月</w:t>
      </w:r>
      <w:r>
        <w:rPr>
          <w:rFonts w:hint="eastAsia" w:hAnsi="宋体"/>
        </w:rPr>
        <w:t xml:space="preserve"> </w:t>
      </w:r>
      <w:r>
        <w:rPr>
          <w:rFonts w:hAnsi="宋体"/>
        </w:rPr>
        <w:t xml:space="preserve"> 日</w:t>
      </w:r>
      <w:bookmarkEnd w:id="512"/>
    </w:p>
    <w:p>
      <w:pPr>
        <w:widowControl/>
        <w:jc w:val="left"/>
        <w:rPr>
          <w:b/>
          <w:kern w:val="44"/>
          <w:sz w:val="28"/>
          <w:szCs w:val="28"/>
        </w:rPr>
      </w:pPr>
      <w:r>
        <w:rPr>
          <w:b/>
          <w:kern w:val="44"/>
          <w:sz w:val="28"/>
          <w:szCs w:val="28"/>
        </w:rPr>
        <w:br w:type="page"/>
      </w:r>
    </w:p>
    <w:p>
      <w:pPr>
        <w:pStyle w:val="4"/>
      </w:pPr>
      <w:bookmarkStart w:id="513" w:name="_Toc5895215"/>
      <w:bookmarkStart w:id="514" w:name="_Toc8399"/>
      <w:bookmarkStart w:id="515" w:name="_Toc40111033"/>
      <w:bookmarkStart w:id="516" w:name="_Toc17281"/>
      <w:bookmarkStart w:id="517" w:name="_Toc523911432"/>
      <w:bookmarkStart w:id="518" w:name="_Toc40114232"/>
      <w:r>
        <w:rPr>
          <w:rFonts w:hint="eastAsia"/>
        </w:rPr>
        <w:t>二、投标文件商务技术册</w:t>
      </w:r>
      <w:bookmarkEnd w:id="513"/>
      <w:bookmarkEnd w:id="514"/>
      <w:bookmarkEnd w:id="515"/>
      <w:bookmarkEnd w:id="516"/>
      <w:bookmarkEnd w:id="517"/>
      <w:bookmarkEnd w:id="518"/>
    </w:p>
    <w:p>
      <w:pPr>
        <w:pStyle w:val="6"/>
        <w:tabs>
          <w:tab w:val="left" w:pos="900"/>
        </w:tabs>
        <w:spacing w:line="360" w:lineRule="auto"/>
        <w:jc w:val="center"/>
        <w:rPr>
          <w:rFonts w:hint="default"/>
          <w:sz w:val="24"/>
        </w:rPr>
      </w:pPr>
      <w:bookmarkStart w:id="519" w:name="_Toc40111034"/>
      <w:bookmarkStart w:id="520" w:name="_Toc5895216"/>
      <w:bookmarkStart w:id="521" w:name="_Toc2273"/>
      <w:bookmarkStart w:id="522" w:name="_Toc523911433"/>
      <w:bookmarkStart w:id="523" w:name="_Toc310195762"/>
      <w:r>
        <w:rPr>
          <w:sz w:val="24"/>
        </w:rPr>
        <w:t>1 投标函</w:t>
      </w:r>
      <w:bookmarkEnd w:id="519"/>
      <w:bookmarkEnd w:id="520"/>
      <w:bookmarkEnd w:id="521"/>
      <w:bookmarkEnd w:id="522"/>
      <w:bookmarkEnd w:id="523"/>
    </w:p>
    <w:p>
      <w:pPr>
        <w:tabs>
          <w:tab w:val="left" w:pos="5580"/>
        </w:tabs>
        <w:spacing w:before="120" w:line="360" w:lineRule="auto"/>
        <w:jc w:val="center"/>
        <w:rPr>
          <w:rFonts w:ascii="宋体" w:hAnsi="宋体"/>
          <w:b/>
          <w:sz w:val="24"/>
        </w:rPr>
      </w:pPr>
    </w:p>
    <w:p>
      <w:pPr>
        <w:tabs>
          <w:tab w:val="left" w:pos="5580"/>
        </w:tabs>
        <w:spacing w:before="120" w:line="360" w:lineRule="auto"/>
        <w:rPr>
          <w:rFonts w:ascii="宋体" w:hAnsi="宋体"/>
          <w:sz w:val="24"/>
        </w:rPr>
      </w:pPr>
      <w:r>
        <w:rPr>
          <w:rFonts w:hint="eastAsia" w:ascii="宋体" w:hAnsi="宋体"/>
          <w:sz w:val="24"/>
        </w:rPr>
        <w:t>致：（采购代理机构）</w:t>
      </w:r>
    </w:p>
    <w:p>
      <w:pPr>
        <w:pStyle w:val="27"/>
        <w:spacing w:line="360" w:lineRule="auto"/>
        <w:ind w:firstLine="360" w:firstLineChars="150"/>
        <w:rPr>
          <w:rFonts w:ascii="宋体" w:hAnsi="宋体"/>
          <w:sz w:val="24"/>
        </w:rPr>
      </w:pPr>
      <w:r>
        <w:rPr>
          <w:rFonts w:hint="eastAsia" w:ascii="宋体" w:hAnsi="宋体"/>
          <w:sz w:val="24"/>
        </w:rPr>
        <w:t>根据贵方为</w:t>
      </w:r>
      <w:r>
        <w:rPr>
          <w:rFonts w:hint="eastAsia" w:ascii="宋体" w:hAnsi="宋体"/>
          <w:sz w:val="24"/>
          <w:u w:val="single"/>
        </w:rPr>
        <w:t>(项目名称)</w:t>
      </w:r>
      <w:r>
        <w:rPr>
          <w:rFonts w:hint="eastAsia" w:ascii="宋体" w:hAnsi="宋体"/>
          <w:sz w:val="24"/>
        </w:rPr>
        <w:t xml:space="preserve"> 招标采购服务</w:t>
      </w:r>
      <w:r>
        <w:rPr>
          <w:rFonts w:hint="eastAsia" w:ascii="宋体" w:hAnsi="宋体"/>
          <w:sz w:val="24"/>
          <w:u w:val="single"/>
        </w:rPr>
        <w:t>(项目代理编号)</w:t>
      </w:r>
      <w:r>
        <w:rPr>
          <w:rFonts w:hint="eastAsia" w:ascii="宋体" w:hAnsi="宋体"/>
          <w:sz w:val="24"/>
        </w:rPr>
        <w:t xml:space="preserve">的投标邀请,签字代表 </w:t>
      </w:r>
      <w:r>
        <w:rPr>
          <w:rFonts w:hint="eastAsia" w:ascii="宋体" w:hAnsi="宋体"/>
          <w:sz w:val="24"/>
          <w:u w:val="single"/>
        </w:rPr>
        <w:t>(姓名、职务)</w:t>
      </w:r>
      <w:r>
        <w:rPr>
          <w:rFonts w:hint="eastAsia" w:ascii="宋体" w:hAnsi="宋体"/>
          <w:sz w:val="24"/>
        </w:rPr>
        <w:t>经正式授权并代表投标人</w:t>
      </w:r>
      <w:r>
        <w:rPr>
          <w:rFonts w:hint="eastAsia" w:ascii="宋体" w:hAnsi="宋体"/>
          <w:sz w:val="24"/>
          <w:u w:val="single"/>
        </w:rPr>
        <w:t>（投标人名称、地址）</w:t>
      </w:r>
      <w:r>
        <w:rPr>
          <w:rFonts w:hint="eastAsia" w:ascii="宋体" w:hAnsi="宋体"/>
          <w:sz w:val="24"/>
        </w:rPr>
        <w:t>提交下述文件正本</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份、副本</w:t>
      </w:r>
      <w:r>
        <w:rPr>
          <w:rFonts w:ascii="宋体" w:hAnsi="宋体"/>
          <w:sz w:val="24"/>
          <w:u w:val="single"/>
        </w:rPr>
        <w:t xml:space="preserve"> 4</w:t>
      </w:r>
      <w:r>
        <w:rPr>
          <w:rFonts w:hint="eastAsia" w:ascii="宋体" w:hAnsi="宋体"/>
          <w:sz w:val="24"/>
          <w:u w:val="single"/>
        </w:rPr>
        <w:t xml:space="preserve"> </w:t>
      </w:r>
      <w:r>
        <w:rPr>
          <w:rFonts w:hint="eastAsia" w:ascii="宋体" w:hAnsi="宋体"/>
          <w:sz w:val="24"/>
        </w:rPr>
        <w:t>份及电子文档</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套：</w:t>
      </w:r>
    </w:p>
    <w:p>
      <w:pPr>
        <w:pStyle w:val="27"/>
        <w:spacing w:line="360" w:lineRule="auto"/>
        <w:ind w:firstLine="424" w:firstLineChars="177"/>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 标 函</w:t>
      </w:r>
    </w:p>
    <w:p>
      <w:pPr>
        <w:pStyle w:val="27"/>
        <w:spacing w:line="360" w:lineRule="auto"/>
        <w:ind w:firstLine="424" w:firstLineChars="177"/>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开标一览表</w:t>
      </w:r>
    </w:p>
    <w:p>
      <w:pPr>
        <w:pStyle w:val="27"/>
        <w:spacing w:line="360" w:lineRule="auto"/>
        <w:ind w:firstLine="424" w:firstLineChars="17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投标分项报价表</w:t>
      </w:r>
    </w:p>
    <w:p>
      <w:pPr>
        <w:pStyle w:val="27"/>
        <w:spacing w:line="360" w:lineRule="auto"/>
        <w:ind w:firstLine="424" w:firstLineChars="17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技术规格偏离表</w:t>
      </w:r>
    </w:p>
    <w:p>
      <w:pPr>
        <w:pStyle w:val="27"/>
        <w:spacing w:line="360" w:lineRule="auto"/>
        <w:ind w:firstLine="424" w:firstLineChars="177"/>
        <w:rPr>
          <w:rFonts w:ascii="宋体" w:hAnsi="宋体"/>
          <w:sz w:val="24"/>
        </w:rPr>
      </w:pPr>
      <w:r>
        <w:rPr>
          <w:rFonts w:hint="eastAsia" w:ascii="宋体" w:hAnsi="宋体"/>
          <w:sz w:val="24"/>
        </w:rPr>
        <w:t>5.商务条款偏离表</w:t>
      </w:r>
    </w:p>
    <w:p>
      <w:pPr>
        <w:pStyle w:val="27"/>
        <w:spacing w:line="360" w:lineRule="auto"/>
        <w:ind w:firstLine="424" w:firstLineChars="177"/>
        <w:rPr>
          <w:rFonts w:ascii="宋体" w:hAnsi="宋体"/>
          <w:sz w:val="24"/>
        </w:rPr>
      </w:pPr>
      <w:r>
        <w:rPr>
          <w:rFonts w:hint="eastAsia" w:ascii="宋体" w:hAnsi="宋体"/>
          <w:sz w:val="24"/>
        </w:rPr>
        <w:t>6.业绩案例一览表</w:t>
      </w:r>
    </w:p>
    <w:p>
      <w:pPr>
        <w:spacing w:line="360" w:lineRule="auto"/>
        <w:ind w:firstLine="424" w:firstLineChars="177"/>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投标人基本情况表</w:t>
      </w:r>
    </w:p>
    <w:p>
      <w:pPr>
        <w:pStyle w:val="27"/>
        <w:spacing w:line="360" w:lineRule="auto"/>
        <w:ind w:firstLine="424" w:firstLineChars="177"/>
      </w:pPr>
      <w:r>
        <w:rPr>
          <w:rFonts w:hint="eastAsia" w:ascii="宋体" w:hAnsi="宋体"/>
          <w:sz w:val="24"/>
        </w:rPr>
        <w:t>8.技术方案</w:t>
      </w:r>
    </w:p>
    <w:p>
      <w:pPr>
        <w:pStyle w:val="27"/>
        <w:spacing w:line="360" w:lineRule="auto"/>
        <w:ind w:firstLine="424" w:firstLineChars="177"/>
        <w:rPr>
          <w:rFonts w:ascii="宋体" w:hAnsi="宋体"/>
          <w:sz w:val="24"/>
        </w:rPr>
      </w:pPr>
      <w:r>
        <w:rPr>
          <w:rFonts w:hint="eastAsia" w:ascii="宋体" w:hAnsi="宋体"/>
          <w:sz w:val="24"/>
        </w:rPr>
        <w:t>9.</w:t>
      </w:r>
      <w:r>
        <w:rPr>
          <w:rFonts w:ascii="宋体" w:hAnsi="宋体"/>
          <w:sz w:val="24"/>
        </w:rPr>
        <w:t>售后服务及培训计划</w:t>
      </w:r>
    </w:p>
    <w:p>
      <w:pPr>
        <w:pStyle w:val="27"/>
        <w:spacing w:line="360" w:lineRule="auto"/>
        <w:ind w:firstLine="424" w:firstLineChars="177"/>
        <w:rPr>
          <w:rFonts w:ascii="宋体" w:hAnsi="宋体"/>
          <w:sz w:val="24"/>
        </w:rPr>
      </w:pPr>
      <w:r>
        <w:rPr>
          <w:rFonts w:hint="eastAsia" w:ascii="宋体" w:hAnsi="宋体"/>
          <w:sz w:val="24"/>
        </w:rPr>
        <w:t xml:space="preserve">10.提交投标保证金的证明材料 </w:t>
      </w:r>
    </w:p>
    <w:p>
      <w:pPr>
        <w:pStyle w:val="27"/>
        <w:spacing w:line="360" w:lineRule="auto"/>
        <w:ind w:firstLine="424" w:firstLineChars="177"/>
        <w:rPr>
          <w:rFonts w:ascii="宋体" w:hAnsi="宋体"/>
          <w:sz w:val="24"/>
        </w:rPr>
      </w:pPr>
      <w:r>
        <w:rPr>
          <w:rFonts w:hint="eastAsia" w:ascii="宋体" w:hAnsi="宋体"/>
          <w:sz w:val="24"/>
        </w:rPr>
        <w:t>11.中标服务费承诺书</w:t>
      </w:r>
    </w:p>
    <w:p>
      <w:pPr>
        <w:spacing w:line="360" w:lineRule="auto"/>
        <w:ind w:firstLine="424" w:firstLineChars="177"/>
        <w:rPr>
          <w:rFonts w:ascii="宋体" w:hAnsi="宋体"/>
          <w:sz w:val="24"/>
          <w:lang w:val="en-GB"/>
        </w:rPr>
      </w:pPr>
      <w:r>
        <w:rPr>
          <w:rFonts w:hint="eastAsia" w:ascii="宋体" w:hAnsi="宋体"/>
          <w:sz w:val="24"/>
          <w:lang w:val="en-GB"/>
        </w:rPr>
        <w:t>12.投标人企业类型声明函</w:t>
      </w:r>
      <w:r>
        <w:rPr>
          <w:rFonts w:hint="eastAsia" w:ascii="宋体" w:hAnsi="宋体"/>
          <w:sz w:val="24"/>
        </w:rPr>
        <w:t>（如适用）</w:t>
      </w:r>
    </w:p>
    <w:p>
      <w:pPr>
        <w:spacing w:line="360" w:lineRule="auto"/>
        <w:ind w:firstLine="424" w:firstLineChars="177"/>
        <w:rPr>
          <w:rFonts w:ascii="宋体" w:hAnsi="宋体"/>
          <w:sz w:val="24"/>
          <w:lang w:val="en-GB"/>
        </w:rPr>
      </w:pPr>
      <w:r>
        <w:rPr>
          <w:rFonts w:hint="eastAsia" w:ascii="宋体" w:hAnsi="宋体"/>
          <w:sz w:val="24"/>
        </w:rPr>
        <w:t>13.</w:t>
      </w:r>
      <w:r>
        <w:rPr>
          <w:rFonts w:hint="eastAsia" w:hAnsi="宋体"/>
          <w:sz w:val="24"/>
          <w:lang w:val="en-GB"/>
        </w:rPr>
        <w:t>残疾人福利性单位声明函（如适用）</w:t>
      </w:r>
    </w:p>
    <w:p>
      <w:pPr>
        <w:pStyle w:val="12"/>
        <w:tabs>
          <w:tab w:val="left" w:pos="5580"/>
        </w:tabs>
        <w:spacing w:line="360" w:lineRule="auto"/>
        <w:ind w:firstLine="424" w:firstLineChars="177"/>
        <w:jc w:val="left"/>
        <w:rPr>
          <w:rFonts w:hAnsi="宋体"/>
          <w:sz w:val="24"/>
          <w:lang w:val="en-GB"/>
        </w:rPr>
      </w:pPr>
      <w:r>
        <w:rPr>
          <w:rFonts w:hint="eastAsia" w:hAnsi="宋体"/>
          <w:sz w:val="24"/>
          <w:lang w:val="en-GB"/>
        </w:rPr>
        <w:t>14.</w:t>
      </w:r>
      <w:r>
        <w:rPr>
          <w:rFonts w:hint="eastAsia" w:hAnsi="宋体"/>
          <w:sz w:val="24"/>
        </w:rPr>
        <w:t>监狱、戒毒企业声明函（如适用）</w:t>
      </w:r>
    </w:p>
    <w:p>
      <w:pPr>
        <w:pStyle w:val="12"/>
        <w:tabs>
          <w:tab w:val="left" w:pos="5580"/>
        </w:tabs>
        <w:spacing w:line="360" w:lineRule="auto"/>
        <w:ind w:firstLine="424" w:firstLineChars="177"/>
        <w:jc w:val="left"/>
        <w:rPr>
          <w:rFonts w:hAnsi="宋体"/>
          <w:sz w:val="24"/>
          <w:szCs w:val="24"/>
          <w:lang w:val="en-GB"/>
        </w:rPr>
      </w:pPr>
      <w:r>
        <w:rPr>
          <w:rFonts w:hAnsi="宋体"/>
          <w:sz w:val="24"/>
          <w:lang w:val="en-GB"/>
        </w:rPr>
        <w:t>1</w:t>
      </w:r>
      <w:r>
        <w:rPr>
          <w:rFonts w:hint="eastAsia" w:hAnsi="宋体"/>
          <w:sz w:val="24"/>
          <w:lang w:val="en-GB"/>
        </w:rPr>
        <w:t>5.</w:t>
      </w:r>
      <w:r>
        <w:rPr>
          <w:sz w:val="24"/>
        </w:rPr>
        <w:t>投标人认为必要的其他证明文件</w:t>
      </w:r>
    </w:p>
    <w:p>
      <w:pPr>
        <w:pStyle w:val="12"/>
        <w:tabs>
          <w:tab w:val="left" w:pos="525"/>
          <w:tab w:val="left" w:pos="945"/>
          <w:tab w:val="left" w:pos="5580"/>
        </w:tabs>
        <w:spacing w:line="360" w:lineRule="auto"/>
        <w:rPr>
          <w:rFonts w:hAnsi="宋体"/>
          <w:sz w:val="24"/>
        </w:rPr>
      </w:pPr>
      <w:r>
        <w:rPr>
          <w:rFonts w:hint="eastAsia" w:hAnsi="宋体"/>
          <w:sz w:val="24"/>
        </w:rPr>
        <w:t>在此，授权代表宣布同意如下：</w:t>
      </w:r>
    </w:p>
    <w:p>
      <w:pPr>
        <w:pStyle w:val="12"/>
        <w:tabs>
          <w:tab w:val="left" w:pos="5580"/>
        </w:tabs>
        <w:spacing w:line="360" w:lineRule="auto"/>
        <w:ind w:left="420"/>
        <w:rPr>
          <w:rFonts w:hAnsi="宋体"/>
          <w:bCs/>
          <w:sz w:val="24"/>
        </w:rPr>
      </w:pPr>
      <w:r>
        <w:rPr>
          <w:rFonts w:hint="eastAsia" w:hAnsi="宋体"/>
          <w:bCs/>
          <w:sz w:val="24"/>
        </w:rPr>
        <w:t>1）所附投标价格表中规定的应提交和交付的服务投标总价为人民币（用文字和数字表示的投标总价）。</w:t>
      </w:r>
    </w:p>
    <w:p>
      <w:pPr>
        <w:pStyle w:val="12"/>
        <w:tabs>
          <w:tab w:val="left" w:pos="5580"/>
        </w:tabs>
        <w:spacing w:line="360" w:lineRule="auto"/>
        <w:ind w:left="420"/>
        <w:rPr>
          <w:rFonts w:hAnsi="宋体"/>
          <w:bCs/>
          <w:sz w:val="24"/>
        </w:rPr>
      </w:pPr>
      <w:r>
        <w:rPr>
          <w:rFonts w:hint="eastAsia" w:hAnsi="宋体"/>
          <w:bCs/>
          <w:sz w:val="24"/>
        </w:rPr>
        <w:t>2）投标人将按招标文件的规定履行合同责任和义务。</w:t>
      </w:r>
    </w:p>
    <w:p>
      <w:pPr>
        <w:pStyle w:val="12"/>
        <w:tabs>
          <w:tab w:val="left" w:pos="5580"/>
        </w:tabs>
        <w:spacing w:line="360" w:lineRule="auto"/>
        <w:ind w:left="420"/>
        <w:rPr>
          <w:rFonts w:hAnsi="宋体"/>
          <w:bCs/>
          <w:sz w:val="24"/>
        </w:rPr>
      </w:pPr>
      <w:r>
        <w:rPr>
          <w:rFonts w:hint="eastAsia" w:hAnsi="宋体"/>
          <w:bCs/>
          <w:sz w:val="24"/>
        </w:rPr>
        <w:t>3）投标人已详细审查全部招标文件。我们完全理解并同意放弃对这方面有不明及误解的权利。</w:t>
      </w:r>
    </w:p>
    <w:p>
      <w:pPr>
        <w:pStyle w:val="12"/>
        <w:tabs>
          <w:tab w:val="left" w:pos="5580"/>
        </w:tabs>
        <w:spacing w:line="360" w:lineRule="auto"/>
        <w:ind w:left="420"/>
        <w:rPr>
          <w:rFonts w:hAnsi="宋体"/>
          <w:bCs/>
          <w:sz w:val="24"/>
        </w:rPr>
      </w:pPr>
      <w:r>
        <w:rPr>
          <w:rFonts w:hint="eastAsia" w:hAnsi="宋体"/>
          <w:bCs/>
          <w:sz w:val="24"/>
        </w:rPr>
        <w:t>4）本投标有效期为自开标之日起</w:t>
      </w:r>
      <w:r>
        <w:rPr>
          <w:rFonts w:hint="eastAsia" w:hAnsi="宋体"/>
          <w:bCs/>
          <w:sz w:val="24"/>
          <w:u w:val="single"/>
        </w:rPr>
        <w:t xml:space="preserve"> 90</w:t>
      </w:r>
      <w:r>
        <w:rPr>
          <w:rFonts w:hint="eastAsia" w:hAnsi="宋体"/>
          <w:bCs/>
          <w:sz w:val="24"/>
        </w:rPr>
        <w:t>个日历日。</w:t>
      </w:r>
    </w:p>
    <w:p>
      <w:pPr>
        <w:pStyle w:val="12"/>
        <w:tabs>
          <w:tab w:val="left" w:pos="5580"/>
        </w:tabs>
        <w:spacing w:line="360" w:lineRule="auto"/>
        <w:ind w:left="420"/>
        <w:rPr>
          <w:rFonts w:hAnsi="宋体"/>
          <w:bCs/>
          <w:sz w:val="24"/>
        </w:rPr>
      </w:pPr>
      <w:r>
        <w:rPr>
          <w:rFonts w:hint="eastAsia" w:hAnsi="宋体"/>
          <w:bCs/>
          <w:sz w:val="24"/>
        </w:rPr>
        <w:t>5）在规定的开标时间后，投标人保证遵守招标文件中有关保证金的规定。</w:t>
      </w:r>
    </w:p>
    <w:p>
      <w:pPr>
        <w:pStyle w:val="12"/>
        <w:tabs>
          <w:tab w:val="left" w:pos="5580"/>
        </w:tabs>
        <w:spacing w:line="360" w:lineRule="auto"/>
        <w:ind w:left="420"/>
        <w:rPr>
          <w:rFonts w:hAnsi="宋体"/>
          <w:bCs/>
          <w:sz w:val="24"/>
        </w:rPr>
      </w:pPr>
      <w:r>
        <w:rPr>
          <w:rFonts w:hint="eastAsia" w:hAnsi="宋体"/>
          <w:bCs/>
          <w:sz w:val="24"/>
        </w:rPr>
        <w:t>6）我方与采购人聘请的为此项目提供咨询服务的公司及任何附属机构均无关联，我方不是采购人的附属机构。</w:t>
      </w:r>
    </w:p>
    <w:p>
      <w:pPr>
        <w:pStyle w:val="12"/>
        <w:tabs>
          <w:tab w:val="left" w:pos="5580"/>
        </w:tabs>
        <w:spacing w:line="360" w:lineRule="auto"/>
        <w:ind w:left="420"/>
        <w:rPr>
          <w:rFonts w:hAnsi="宋体"/>
          <w:bCs/>
          <w:sz w:val="24"/>
        </w:rPr>
      </w:pPr>
      <w:r>
        <w:rPr>
          <w:rFonts w:hint="eastAsia" w:hAnsi="宋体"/>
          <w:bCs/>
          <w:sz w:val="24"/>
        </w:rPr>
        <w:t>7）投标人同意提供按照贵方可能要求的与其投标有关的一切数据或资料，完全理解贵方不一定接受最低价的投标。</w:t>
      </w:r>
    </w:p>
    <w:p>
      <w:pPr>
        <w:pStyle w:val="12"/>
        <w:tabs>
          <w:tab w:val="left" w:pos="5580"/>
        </w:tabs>
        <w:spacing w:line="360" w:lineRule="auto"/>
        <w:ind w:left="420"/>
        <w:rPr>
          <w:rFonts w:hAnsi="宋体"/>
          <w:sz w:val="24"/>
        </w:rPr>
      </w:pPr>
      <w:r>
        <w:rPr>
          <w:rFonts w:hint="eastAsia" w:hAnsi="宋体"/>
          <w:bCs/>
          <w:sz w:val="24"/>
        </w:rPr>
        <w:t>8）与本投标有关的一切正式往来信函请寄：</w:t>
      </w:r>
    </w:p>
    <w:p>
      <w:pPr>
        <w:pStyle w:val="12"/>
        <w:tabs>
          <w:tab w:val="left" w:pos="5580"/>
        </w:tabs>
        <w:spacing w:line="360" w:lineRule="auto"/>
        <w:ind w:left="420"/>
        <w:rPr>
          <w:rFonts w:hAnsi="宋体"/>
          <w:sz w:val="24"/>
        </w:rPr>
      </w:pPr>
      <w:r>
        <w:rPr>
          <w:rFonts w:hint="eastAsia" w:hAnsi="宋体"/>
          <w:sz w:val="24"/>
        </w:rPr>
        <w:t>地址：_________________________     传真：____________________________</w:t>
      </w:r>
    </w:p>
    <w:p>
      <w:pPr>
        <w:pStyle w:val="12"/>
        <w:tabs>
          <w:tab w:val="left" w:pos="5580"/>
        </w:tabs>
        <w:spacing w:line="360" w:lineRule="auto"/>
        <w:ind w:left="420"/>
        <w:rPr>
          <w:rFonts w:hAnsi="宋体"/>
          <w:sz w:val="24"/>
        </w:rPr>
      </w:pPr>
      <w:r>
        <w:rPr>
          <w:rFonts w:hint="eastAsia" w:hAnsi="宋体"/>
          <w:sz w:val="24"/>
        </w:rPr>
        <w:t>电话：_________________________     邮箱：____________________________</w:t>
      </w:r>
    </w:p>
    <w:p>
      <w:pPr>
        <w:pStyle w:val="12"/>
        <w:tabs>
          <w:tab w:val="left" w:pos="5580"/>
        </w:tabs>
        <w:spacing w:line="360" w:lineRule="auto"/>
        <w:rPr>
          <w:rFonts w:hAnsi="宋体"/>
          <w:sz w:val="24"/>
        </w:rPr>
      </w:pPr>
    </w:p>
    <w:p>
      <w:pPr>
        <w:pStyle w:val="12"/>
        <w:tabs>
          <w:tab w:val="left" w:pos="5580"/>
        </w:tabs>
        <w:spacing w:line="480" w:lineRule="auto"/>
        <w:ind w:left="420"/>
        <w:rPr>
          <w:rFonts w:hAnsi="宋体"/>
          <w:sz w:val="24"/>
        </w:rPr>
      </w:pPr>
      <w:r>
        <w:rPr>
          <w:rFonts w:hint="eastAsia" w:hAnsi="宋体"/>
          <w:sz w:val="24"/>
        </w:rPr>
        <w:t>授权代表签字：_________________</w:t>
      </w:r>
    </w:p>
    <w:p>
      <w:pPr>
        <w:pStyle w:val="12"/>
        <w:tabs>
          <w:tab w:val="left" w:pos="5580"/>
        </w:tabs>
        <w:spacing w:line="480" w:lineRule="auto"/>
        <w:ind w:left="420"/>
        <w:rPr>
          <w:rFonts w:hAnsi="宋体"/>
          <w:sz w:val="24"/>
        </w:rPr>
      </w:pPr>
      <w:r>
        <w:rPr>
          <w:rFonts w:hint="eastAsia" w:hAnsi="宋体"/>
          <w:sz w:val="24"/>
        </w:rPr>
        <w:t>投标人名称：___________________</w:t>
      </w:r>
    </w:p>
    <w:p>
      <w:pPr>
        <w:pStyle w:val="12"/>
        <w:tabs>
          <w:tab w:val="left" w:pos="5580"/>
        </w:tabs>
        <w:spacing w:line="480" w:lineRule="auto"/>
        <w:ind w:left="420"/>
        <w:rPr>
          <w:rFonts w:hAnsi="宋体"/>
          <w:sz w:val="24"/>
          <w:u w:val="single"/>
        </w:rPr>
      </w:pPr>
      <w:r>
        <w:rPr>
          <w:rFonts w:hint="eastAsia" w:hAnsi="宋体"/>
          <w:sz w:val="24"/>
        </w:rPr>
        <w:t>开户名全称：</w:t>
      </w:r>
    </w:p>
    <w:p>
      <w:pPr>
        <w:pStyle w:val="12"/>
        <w:tabs>
          <w:tab w:val="left" w:pos="5580"/>
        </w:tabs>
        <w:spacing w:line="480" w:lineRule="auto"/>
        <w:ind w:left="420"/>
        <w:rPr>
          <w:rFonts w:hAnsi="宋体"/>
          <w:sz w:val="24"/>
        </w:rPr>
      </w:pPr>
      <w:r>
        <w:rPr>
          <w:rFonts w:hint="eastAsia" w:hAnsi="宋体"/>
          <w:sz w:val="24"/>
        </w:rPr>
        <w:t>开户银行：</w:t>
      </w:r>
    </w:p>
    <w:p>
      <w:pPr>
        <w:pStyle w:val="12"/>
        <w:tabs>
          <w:tab w:val="left" w:pos="5580"/>
        </w:tabs>
        <w:spacing w:line="480" w:lineRule="auto"/>
        <w:ind w:left="420"/>
        <w:rPr>
          <w:rFonts w:hAnsi="宋体"/>
          <w:sz w:val="24"/>
        </w:rPr>
      </w:pPr>
      <w:r>
        <w:rPr>
          <w:rFonts w:hint="eastAsia" w:hAnsi="宋体"/>
          <w:sz w:val="24"/>
        </w:rPr>
        <w:t>银行账号：</w:t>
      </w:r>
    </w:p>
    <w:p>
      <w:pPr>
        <w:pStyle w:val="12"/>
        <w:tabs>
          <w:tab w:val="left" w:pos="5580"/>
        </w:tabs>
        <w:spacing w:line="480" w:lineRule="auto"/>
        <w:ind w:left="420"/>
        <w:rPr>
          <w:rFonts w:hAnsi="宋体"/>
          <w:sz w:val="24"/>
        </w:rPr>
      </w:pPr>
      <w:r>
        <w:rPr>
          <w:rFonts w:hint="eastAsia" w:hAnsi="宋体"/>
          <w:sz w:val="24"/>
        </w:rPr>
        <w:t>公    章：</w:t>
      </w:r>
    </w:p>
    <w:p>
      <w:pPr>
        <w:pStyle w:val="12"/>
        <w:tabs>
          <w:tab w:val="left" w:pos="5580"/>
        </w:tabs>
        <w:spacing w:line="480" w:lineRule="auto"/>
        <w:ind w:left="420"/>
        <w:rPr>
          <w:rFonts w:hAnsi="宋体"/>
          <w:sz w:val="24"/>
          <w:u w:val="single"/>
        </w:rPr>
      </w:pPr>
      <w:r>
        <w:rPr>
          <w:rFonts w:hint="eastAsia" w:hAnsi="宋体"/>
          <w:sz w:val="24"/>
        </w:rPr>
        <w:t>日    期：</w:t>
      </w:r>
    </w:p>
    <w:p>
      <w:pPr>
        <w:pStyle w:val="12"/>
        <w:tabs>
          <w:tab w:val="left" w:pos="5580"/>
        </w:tabs>
        <w:spacing w:line="360" w:lineRule="auto"/>
        <w:ind w:left="840"/>
        <w:jc w:val="left"/>
        <w:rPr>
          <w:rFonts w:hAnsi="宋体"/>
          <w:sz w:val="24"/>
          <w:szCs w:val="24"/>
        </w:rPr>
      </w:pPr>
    </w:p>
    <w:p>
      <w:pPr>
        <w:pStyle w:val="12"/>
        <w:tabs>
          <w:tab w:val="left" w:pos="5580"/>
        </w:tabs>
        <w:spacing w:line="360" w:lineRule="auto"/>
        <w:ind w:left="840"/>
        <w:jc w:val="left"/>
        <w:rPr>
          <w:rFonts w:hAnsi="宋体"/>
          <w:sz w:val="24"/>
          <w:szCs w:val="24"/>
        </w:rPr>
      </w:pPr>
    </w:p>
    <w:p>
      <w:pPr>
        <w:pStyle w:val="12"/>
        <w:tabs>
          <w:tab w:val="left" w:pos="5580"/>
        </w:tabs>
        <w:spacing w:line="360" w:lineRule="auto"/>
        <w:ind w:left="840"/>
        <w:jc w:val="left"/>
        <w:rPr>
          <w:rFonts w:hAnsi="宋体"/>
          <w:sz w:val="24"/>
          <w:u w:val="single"/>
        </w:rPr>
        <w:sectPr>
          <w:headerReference r:id="rId9" w:type="first"/>
          <w:footerReference r:id="rId11" w:type="first"/>
          <w:headerReference r:id="rId8" w:type="default"/>
          <w:footerReference r:id="rId10" w:type="default"/>
          <w:pgSz w:w="11905" w:h="16838"/>
          <w:pgMar w:top="1088" w:right="1417" w:bottom="1400" w:left="1417" w:header="567" w:footer="850" w:gutter="0"/>
          <w:cols w:space="0" w:num="1"/>
          <w:docGrid w:linePitch="462" w:charSpace="0"/>
        </w:sectPr>
      </w:pPr>
    </w:p>
    <w:p>
      <w:pPr>
        <w:pStyle w:val="6"/>
        <w:tabs>
          <w:tab w:val="left" w:pos="900"/>
        </w:tabs>
        <w:spacing w:line="360" w:lineRule="auto"/>
        <w:jc w:val="center"/>
        <w:rPr>
          <w:rFonts w:hint="default"/>
          <w:sz w:val="24"/>
        </w:rPr>
      </w:pPr>
      <w:bookmarkStart w:id="524" w:name="_Toc520356218"/>
      <w:bookmarkStart w:id="525" w:name="_Toc236642991"/>
      <w:bookmarkStart w:id="526" w:name="_Toc310195763"/>
      <w:bookmarkStart w:id="527" w:name="_Toc480942350"/>
      <w:bookmarkStart w:id="528" w:name="_Toc523911434"/>
      <w:bookmarkStart w:id="529" w:name="_Ref467988705"/>
      <w:bookmarkStart w:id="530" w:name="_Toc5895217"/>
      <w:bookmarkStart w:id="531" w:name="_Toc40111035"/>
      <w:bookmarkStart w:id="532" w:name="_Toc599"/>
      <w:r>
        <w:rPr>
          <w:sz w:val="24"/>
        </w:rPr>
        <w:t xml:space="preserve">2 </w:t>
      </w:r>
      <w:bookmarkEnd w:id="524"/>
      <w:bookmarkEnd w:id="525"/>
      <w:bookmarkEnd w:id="526"/>
      <w:bookmarkEnd w:id="527"/>
      <w:bookmarkEnd w:id="528"/>
      <w:bookmarkEnd w:id="529"/>
      <w:bookmarkEnd w:id="530"/>
      <w:r>
        <w:rPr>
          <w:sz w:val="24"/>
        </w:rPr>
        <w:t>开标一览表</w:t>
      </w:r>
      <w:bookmarkEnd w:id="531"/>
      <w:bookmarkEnd w:id="532"/>
    </w:p>
    <w:p>
      <w:pPr>
        <w:tabs>
          <w:tab w:val="left" w:pos="1800"/>
          <w:tab w:val="left" w:pos="5580"/>
        </w:tabs>
        <w:spacing w:line="360" w:lineRule="auto"/>
        <w:jc w:val="left"/>
        <w:rPr>
          <w:rFonts w:ascii="宋体" w:hAnsi="宋体"/>
          <w:sz w:val="24"/>
        </w:rPr>
      </w:pPr>
    </w:p>
    <w:p>
      <w:pPr>
        <w:pStyle w:val="12"/>
        <w:spacing w:line="360" w:lineRule="auto"/>
        <w:ind w:left="840"/>
        <w:rPr>
          <w:rFonts w:hAnsi="宋体"/>
          <w:sz w:val="24"/>
        </w:rPr>
      </w:pPr>
      <w:r>
        <w:rPr>
          <w:rFonts w:hint="eastAsia" w:hAnsi="宋体"/>
          <w:sz w:val="24"/>
        </w:rPr>
        <w:t>项目名称：</w:t>
      </w:r>
      <w:r>
        <w:rPr>
          <w:rFonts w:hint="eastAsia" w:hAnsi="宋体"/>
          <w:sz w:val="24"/>
          <w:szCs w:val="24"/>
        </w:rPr>
        <w:t xml:space="preserve">_______________               项目代理编号：_______________ </w:t>
      </w:r>
      <w:r>
        <w:rPr>
          <w:rFonts w:hAnsi="宋体"/>
          <w:sz w:val="24"/>
        </w:rPr>
        <w:t xml:space="preserve"> </w:t>
      </w:r>
    </w:p>
    <w:tbl>
      <w:tblPr>
        <w:tblStyle w:val="2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24"/>
        <w:gridCol w:w="2626"/>
        <w:gridCol w:w="2468"/>
        <w:gridCol w:w="2641"/>
        <w:gridCol w:w="2353"/>
        <w:gridCol w:w="1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8" w:type="pct"/>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投标人名称</w:t>
            </w:r>
          </w:p>
        </w:tc>
        <w:tc>
          <w:tcPr>
            <w:tcW w:w="1771" w:type="pct"/>
            <w:gridSpan w:val="2"/>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投标总价</w:t>
            </w:r>
          </w:p>
          <w:p>
            <w:pPr>
              <w:tabs>
                <w:tab w:val="left" w:pos="5580"/>
              </w:tabs>
              <w:spacing w:line="360" w:lineRule="auto"/>
              <w:jc w:val="center"/>
              <w:rPr>
                <w:rFonts w:ascii="宋体" w:hAnsi="宋体"/>
                <w:sz w:val="24"/>
              </w:rPr>
            </w:pPr>
            <w:r>
              <w:rPr>
                <w:rFonts w:hint="eastAsia" w:ascii="宋体" w:hAnsi="宋体"/>
                <w:sz w:val="24"/>
              </w:rPr>
              <w:t>（大写/小写，单位：元）</w:t>
            </w:r>
          </w:p>
        </w:tc>
        <w:tc>
          <w:tcPr>
            <w:tcW w:w="918" w:type="pct"/>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交货期</w:t>
            </w:r>
          </w:p>
        </w:tc>
        <w:tc>
          <w:tcPr>
            <w:tcW w:w="818" w:type="pct"/>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交货地点</w:t>
            </w:r>
          </w:p>
        </w:tc>
        <w:tc>
          <w:tcPr>
            <w:tcW w:w="683" w:type="pct"/>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808" w:type="pct"/>
            <w:vMerge w:val="restart"/>
            <w:vAlign w:val="center"/>
          </w:tcPr>
          <w:p>
            <w:pPr>
              <w:tabs>
                <w:tab w:val="left" w:pos="5580"/>
              </w:tabs>
              <w:spacing w:line="360" w:lineRule="auto"/>
              <w:jc w:val="center"/>
              <w:rPr>
                <w:rFonts w:ascii="宋体" w:hAnsi="宋体"/>
                <w:sz w:val="24"/>
              </w:rPr>
            </w:pPr>
          </w:p>
        </w:tc>
        <w:tc>
          <w:tcPr>
            <w:tcW w:w="913" w:type="pct"/>
            <w:vAlign w:val="center"/>
          </w:tcPr>
          <w:p>
            <w:pPr>
              <w:tabs>
                <w:tab w:val="left" w:pos="5580"/>
              </w:tabs>
              <w:spacing w:line="360" w:lineRule="auto"/>
              <w:jc w:val="center"/>
              <w:rPr>
                <w:rFonts w:ascii="宋体" w:hAnsi="宋体"/>
                <w:sz w:val="24"/>
              </w:rPr>
            </w:pPr>
            <w:r>
              <w:rPr>
                <w:rFonts w:hint="eastAsia" w:ascii="宋体" w:hAnsi="宋体"/>
                <w:sz w:val="24"/>
              </w:rPr>
              <w:t>人民币小写：</w:t>
            </w:r>
          </w:p>
        </w:tc>
        <w:tc>
          <w:tcPr>
            <w:tcW w:w="857" w:type="pct"/>
            <w:vAlign w:val="center"/>
          </w:tcPr>
          <w:p>
            <w:pPr>
              <w:tabs>
                <w:tab w:val="left" w:pos="5580"/>
              </w:tabs>
              <w:spacing w:line="360" w:lineRule="auto"/>
              <w:jc w:val="center"/>
              <w:rPr>
                <w:rFonts w:ascii="宋体" w:hAnsi="宋体"/>
                <w:sz w:val="24"/>
              </w:rPr>
            </w:pPr>
          </w:p>
        </w:tc>
        <w:tc>
          <w:tcPr>
            <w:tcW w:w="918" w:type="pct"/>
            <w:vMerge w:val="restart"/>
            <w:vAlign w:val="center"/>
          </w:tcPr>
          <w:p>
            <w:pPr>
              <w:tabs>
                <w:tab w:val="left" w:pos="5580"/>
              </w:tabs>
              <w:spacing w:line="360" w:lineRule="auto"/>
              <w:jc w:val="center"/>
              <w:rPr>
                <w:rFonts w:ascii="宋体" w:hAnsi="宋体"/>
                <w:sz w:val="24"/>
              </w:rPr>
            </w:pPr>
          </w:p>
        </w:tc>
        <w:tc>
          <w:tcPr>
            <w:tcW w:w="818" w:type="pct"/>
            <w:vMerge w:val="restart"/>
            <w:vAlign w:val="center"/>
          </w:tcPr>
          <w:p>
            <w:pPr>
              <w:tabs>
                <w:tab w:val="left" w:pos="5580"/>
              </w:tabs>
              <w:spacing w:line="360" w:lineRule="auto"/>
              <w:jc w:val="center"/>
              <w:rPr>
                <w:rFonts w:ascii="宋体" w:hAnsi="宋体"/>
                <w:sz w:val="24"/>
              </w:rPr>
            </w:pPr>
          </w:p>
        </w:tc>
        <w:tc>
          <w:tcPr>
            <w:tcW w:w="683" w:type="pct"/>
            <w:vMerge w:val="restart"/>
            <w:vAlign w:val="center"/>
          </w:tcPr>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808" w:type="pct"/>
            <w:vMerge w:val="continue"/>
            <w:vAlign w:val="center"/>
          </w:tcPr>
          <w:p>
            <w:pPr>
              <w:tabs>
                <w:tab w:val="left" w:pos="5580"/>
              </w:tabs>
              <w:spacing w:line="360" w:lineRule="auto"/>
              <w:jc w:val="center"/>
              <w:rPr>
                <w:rFonts w:ascii="宋体" w:hAnsi="宋体"/>
                <w:sz w:val="24"/>
              </w:rPr>
            </w:pPr>
          </w:p>
        </w:tc>
        <w:tc>
          <w:tcPr>
            <w:tcW w:w="913" w:type="pct"/>
            <w:vAlign w:val="center"/>
          </w:tcPr>
          <w:p>
            <w:pPr>
              <w:tabs>
                <w:tab w:val="left" w:pos="5580"/>
              </w:tabs>
              <w:spacing w:line="360" w:lineRule="auto"/>
              <w:jc w:val="center"/>
              <w:rPr>
                <w:rFonts w:ascii="宋体" w:hAnsi="宋体"/>
                <w:sz w:val="24"/>
              </w:rPr>
            </w:pPr>
            <w:r>
              <w:rPr>
                <w:rFonts w:hint="eastAsia" w:ascii="宋体" w:hAnsi="宋体"/>
                <w:sz w:val="24"/>
              </w:rPr>
              <w:t>人民币大写：</w:t>
            </w:r>
          </w:p>
        </w:tc>
        <w:tc>
          <w:tcPr>
            <w:tcW w:w="857" w:type="pct"/>
            <w:vAlign w:val="center"/>
          </w:tcPr>
          <w:p>
            <w:pPr>
              <w:tabs>
                <w:tab w:val="left" w:pos="5580"/>
              </w:tabs>
              <w:spacing w:line="360" w:lineRule="auto"/>
              <w:jc w:val="center"/>
              <w:rPr>
                <w:rFonts w:ascii="宋体" w:hAnsi="宋体"/>
                <w:sz w:val="24"/>
              </w:rPr>
            </w:pPr>
          </w:p>
        </w:tc>
        <w:tc>
          <w:tcPr>
            <w:tcW w:w="918" w:type="pct"/>
            <w:vMerge w:val="continue"/>
            <w:vAlign w:val="center"/>
          </w:tcPr>
          <w:p>
            <w:pPr>
              <w:tabs>
                <w:tab w:val="left" w:pos="5580"/>
              </w:tabs>
              <w:spacing w:line="360" w:lineRule="auto"/>
              <w:jc w:val="center"/>
              <w:rPr>
                <w:rFonts w:ascii="宋体" w:hAnsi="宋体"/>
                <w:sz w:val="24"/>
              </w:rPr>
            </w:pPr>
          </w:p>
        </w:tc>
        <w:tc>
          <w:tcPr>
            <w:tcW w:w="818" w:type="pct"/>
            <w:vMerge w:val="continue"/>
            <w:vAlign w:val="center"/>
          </w:tcPr>
          <w:p>
            <w:pPr>
              <w:tabs>
                <w:tab w:val="left" w:pos="5580"/>
              </w:tabs>
              <w:spacing w:line="360" w:lineRule="auto"/>
              <w:jc w:val="center"/>
              <w:rPr>
                <w:rFonts w:ascii="宋体" w:hAnsi="宋体"/>
                <w:sz w:val="24"/>
              </w:rPr>
            </w:pPr>
          </w:p>
        </w:tc>
        <w:tc>
          <w:tcPr>
            <w:tcW w:w="683" w:type="pct"/>
            <w:vMerge w:val="continue"/>
            <w:vAlign w:val="center"/>
          </w:tcPr>
          <w:p>
            <w:pPr>
              <w:tabs>
                <w:tab w:val="left" w:pos="5580"/>
              </w:tabs>
              <w:spacing w:line="360" w:lineRule="auto"/>
              <w:jc w:val="center"/>
              <w:rPr>
                <w:rFonts w:ascii="宋体" w:hAnsi="宋体"/>
                <w:sz w:val="24"/>
              </w:rPr>
            </w:pPr>
          </w:p>
        </w:tc>
      </w:tr>
    </w:tbl>
    <w:p>
      <w:pPr>
        <w:pStyle w:val="12"/>
        <w:tabs>
          <w:tab w:val="left" w:pos="5580"/>
        </w:tabs>
        <w:spacing w:before="120" w:line="360" w:lineRule="auto"/>
        <w:ind w:left="840"/>
        <w:rPr>
          <w:rFonts w:hAnsi="宋体"/>
          <w:sz w:val="24"/>
        </w:rPr>
      </w:pPr>
    </w:p>
    <w:p>
      <w:pPr>
        <w:spacing w:line="480" w:lineRule="auto"/>
        <w:rPr>
          <w:rFonts w:ascii="宋体" w:hAnsi="宋体"/>
          <w:sz w:val="24"/>
          <w:szCs w:val="21"/>
          <w:lang w:val="zh-CN"/>
        </w:rPr>
      </w:pPr>
      <w:r>
        <w:rPr>
          <w:rFonts w:hint="eastAsia" w:ascii="宋体" w:hAnsi="宋体"/>
          <w:sz w:val="24"/>
          <w:szCs w:val="21"/>
          <w:lang w:val="zh-CN"/>
        </w:rPr>
        <w:t>投标人名称（盖章）：</w:t>
      </w:r>
    </w:p>
    <w:p>
      <w:pPr>
        <w:spacing w:line="480" w:lineRule="auto"/>
        <w:rPr>
          <w:rFonts w:ascii="宋体" w:hAnsi="宋体"/>
          <w:sz w:val="24"/>
          <w:szCs w:val="21"/>
          <w:lang w:val="zh-CN"/>
        </w:rPr>
      </w:pPr>
      <w:r>
        <w:rPr>
          <w:rFonts w:hint="eastAsia" w:ascii="宋体" w:hAnsi="宋体"/>
          <w:sz w:val="24"/>
          <w:szCs w:val="21"/>
        </w:rPr>
        <w:t>授权</w:t>
      </w:r>
      <w:r>
        <w:rPr>
          <w:rFonts w:hint="eastAsia" w:ascii="宋体" w:hAnsi="宋体"/>
          <w:sz w:val="24"/>
          <w:szCs w:val="21"/>
          <w:lang w:val="zh-CN"/>
        </w:rPr>
        <w:t>代表（签字）：</w:t>
      </w:r>
    </w:p>
    <w:p>
      <w:pPr>
        <w:spacing w:line="480" w:lineRule="auto"/>
        <w:rPr>
          <w:rFonts w:ascii="宋体" w:hAnsi="宋体"/>
          <w:sz w:val="24"/>
          <w:szCs w:val="21"/>
          <w:lang w:val="zh-CN"/>
        </w:rPr>
      </w:pPr>
      <w:r>
        <w:rPr>
          <w:rFonts w:hint="eastAsia" w:ascii="宋体" w:hAnsi="宋体"/>
          <w:sz w:val="24"/>
          <w:szCs w:val="21"/>
          <w:lang w:val="zh-CN"/>
        </w:rPr>
        <w:t>注:1、此表应按投标人须知的规定密封标记并单独递交。</w:t>
      </w:r>
    </w:p>
    <w:p>
      <w:pPr>
        <w:spacing w:line="480" w:lineRule="auto"/>
        <w:rPr>
          <w:rFonts w:ascii="宋体" w:hAnsi="宋体"/>
          <w:sz w:val="24"/>
          <w:szCs w:val="21"/>
          <w:lang w:val="zh-CN"/>
        </w:rPr>
      </w:pPr>
      <w:r>
        <w:rPr>
          <w:rFonts w:hint="eastAsia" w:ascii="宋体" w:hAnsi="宋体"/>
          <w:sz w:val="24"/>
          <w:szCs w:val="21"/>
          <w:lang w:val="zh-CN"/>
        </w:rPr>
        <w:t>2、此表中，投标总价应和“3投标分项报价表”中的总价相一致。</w:t>
      </w:r>
    </w:p>
    <w:p>
      <w:pPr>
        <w:sectPr>
          <w:pgSz w:w="16838" w:h="11905" w:orient="landscape"/>
          <w:pgMar w:top="1417" w:right="1088" w:bottom="1417" w:left="1400" w:header="567" w:footer="850" w:gutter="0"/>
          <w:cols w:space="0" w:num="1"/>
          <w:docGrid w:linePitch="312" w:charSpace="0"/>
        </w:sectPr>
      </w:pPr>
    </w:p>
    <w:p>
      <w:pPr>
        <w:rPr>
          <w:rFonts w:hAnsi="宋体"/>
          <w:sz w:val="24"/>
        </w:rPr>
      </w:pPr>
      <w:bookmarkStart w:id="533" w:name="_Toc310195765"/>
      <w:bookmarkStart w:id="534" w:name="_Toc236642992"/>
    </w:p>
    <w:p>
      <w:pPr>
        <w:pStyle w:val="6"/>
        <w:tabs>
          <w:tab w:val="left" w:pos="900"/>
        </w:tabs>
        <w:spacing w:line="360" w:lineRule="auto"/>
        <w:jc w:val="center"/>
        <w:rPr>
          <w:rFonts w:hint="default"/>
          <w:sz w:val="24"/>
        </w:rPr>
      </w:pPr>
      <w:bookmarkStart w:id="535" w:name="_Toc523911435"/>
      <w:bookmarkStart w:id="536" w:name="_Toc17121"/>
      <w:bookmarkStart w:id="537" w:name="_Toc5895218"/>
      <w:bookmarkStart w:id="538" w:name="_Toc310195764"/>
      <w:bookmarkStart w:id="539" w:name="_Toc366858502"/>
      <w:bookmarkStart w:id="540" w:name="_Toc40111036"/>
      <w:r>
        <w:rPr>
          <w:sz w:val="24"/>
        </w:rPr>
        <w:t>3 投标分项报价表</w:t>
      </w:r>
      <w:bookmarkEnd w:id="535"/>
      <w:bookmarkEnd w:id="536"/>
      <w:bookmarkEnd w:id="537"/>
      <w:bookmarkEnd w:id="538"/>
      <w:bookmarkEnd w:id="539"/>
      <w:bookmarkEnd w:id="540"/>
    </w:p>
    <w:p>
      <w:pPr>
        <w:pStyle w:val="5"/>
        <w:ind w:firstLine="5262" w:firstLineChars="2184"/>
        <w:rPr>
          <w:rFonts w:hAnsi="宋体"/>
          <w:b/>
          <w:szCs w:val="24"/>
        </w:rPr>
      </w:pPr>
    </w:p>
    <w:p>
      <w:pPr>
        <w:pStyle w:val="12"/>
        <w:spacing w:line="360" w:lineRule="auto"/>
        <w:ind w:left="840"/>
        <w:rPr>
          <w:rFonts w:hAnsi="宋体"/>
          <w:sz w:val="24"/>
          <w:szCs w:val="24"/>
          <w:u w:val="single"/>
        </w:rPr>
      </w:pPr>
      <w:r>
        <w:rPr>
          <w:rFonts w:hint="eastAsia" w:hAnsi="宋体"/>
          <w:sz w:val="24"/>
        </w:rPr>
        <w:t>项目名称：</w:t>
      </w:r>
      <w:r>
        <w:rPr>
          <w:rFonts w:hint="eastAsia" w:hAnsi="宋体"/>
          <w:sz w:val="24"/>
          <w:szCs w:val="24"/>
        </w:rPr>
        <w:t xml:space="preserve">_______________               项目代理编号：_______________ </w:t>
      </w:r>
    </w:p>
    <w:tbl>
      <w:tblPr>
        <w:tblStyle w:val="20"/>
        <w:tblW w:w="132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85"/>
        <w:gridCol w:w="1914"/>
        <w:gridCol w:w="1275"/>
        <w:gridCol w:w="1418"/>
        <w:gridCol w:w="1417"/>
        <w:gridCol w:w="1218"/>
        <w:gridCol w:w="921"/>
        <w:gridCol w:w="1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tcBorders>
              <w:top w:val="single" w:color="auto" w:sz="12" w:space="0"/>
            </w:tcBorders>
            <w:vAlign w:val="center"/>
          </w:tcPr>
          <w:p>
            <w:pPr>
              <w:pStyle w:val="12"/>
              <w:jc w:val="center"/>
              <w:rPr>
                <w:rFonts w:hAnsi="宋体" w:cs="Courier New"/>
                <w:sz w:val="24"/>
                <w:szCs w:val="24"/>
              </w:rPr>
            </w:pPr>
            <w:r>
              <w:rPr>
                <w:rFonts w:hint="eastAsia" w:hAnsi="宋体" w:cs="Courier New"/>
                <w:sz w:val="24"/>
                <w:szCs w:val="24"/>
              </w:rPr>
              <w:t>序号</w:t>
            </w:r>
          </w:p>
        </w:tc>
        <w:tc>
          <w:tcPr>
            <w:tcW w:w="2085" w:type="dxa"/>
            <w:tcBorders>
              <w:top w:val="single" w:color="auto" w:sz="12" w:space="0"/>
            </w:tcBorders>
            <w:vAlign w:val="center"/>
          </w:tcPr>
          <w:p>
            <w:pPr>
              <w:pStyle w:val="12"/>
              <w:jc w:val="center"/>
              <w:rPr>
                <w:rFonts w:hAnsi="宋体" w:cs="Courier New"/>
                <w:sz w:val="24"/>
                <w:szCs w:val="24"/>
              </w:rPr>
            </w:pPr>
            <w:r>
              <w:rPr>
                <w:rFonts w:hint="eastAsia" w:hAnsi="宋体" w:cs="Courier New"/>
                <w:sz w:val="24"/>
                <w:szCs w:val="24"/>
              </w:rPr>
              <w:t>名称</w:t>
            </w:r>
          </w:p>
        </w:tc>
        <w:tc>
          <w:tcPr>
            <w:tcW w:w="1914" w:type="dxa"/>
            <w:tcBorders>
              <w:top w:val="single" w:color="auto" w:sz="12" w:space="0"/>
            </w:tcBorders>
            <w:vAlign w:val="center"/>
          </w:tcPr>
          <w:p>
            <w:pPr>
              <w:pStyle w:val="12"/>
              <w:jc w:val="center"/>
              <w:rPr>
                <w:rFonts w:hAnsi="宋体" w:cs="Courier New"/>
                <w:sz w:val="24"/>
                <w:szCs w:val="24"/>
              </w:rPr>
            </w:pPr>
            <w:r>
              <w:rPr>
                <w:rFonts w:hint="eastAsia" w:hAnsi="宋体" w:cs="Courier New"/>
                <w:sz w:val="24"/>
                <w:szCs w:val="24"/>
              </w:rPr>
              <w:t>品牌、型号和规格</w:t>
            </w:r>
          </w:p>
        </w:tc>
        <w:tc>
          <w:tcPr>
            <w:tcW w:w="1275" w:type="dxa"/>
            <w:tcBorders>
              <w:top w:val="single" w:color="auto" w:sz="12" w:space="0"/>
            </w:tcBorders>
            <w:vAlign w:val="center"/>
          </w:tcPr>
          <w:p>
            <w:pPr>
              <w:pStyle w:val="12"/>
              <w:jc w:val="center"/>
              <w:rPr>
                <w:rFonts w:hAnsi="宋体" w:cs="Courier New"/>
                <w:sz w:val="24"/>
                <w:szCs w:val="24"/>
              </w:rPr>
            </w:pPr>
            <w:r>
              <w:rPr>
                <w:rFonts w:hint="eastAsia" w:hAnsi="宋体" w:cs="Courier New"/>
                <w:sz w:val="24"/>
                <w:szCs w:val="24"/>
              </w:rPr>
              <w:t>数量</w:t>
            </w:r>
          </w:p>
        </w:tc>
        <w:tc>
          <w:tcPr>
            <w:tcW w:w="1418" w:type="dxa"/>
            <w:tcBorders>
              <w:top w:val="single" w:color="auto" w:sz="12" w:space="0"/>
            </w:tcBorders>
            <w:vAlign w:val="center"/>
          </w:tcPr>
          <w:p>
            <w:pPr>
              <w:pStyle w:val="12"/>
              <w:jc w:val="center"/>
              <w:rPr>
                <w:rFonts w:hAnsi="宋体" w:cs="Courier New"/>
                <w:sz w:val="24"/>
                <w:szCs w:val="24"/>
              </w:rPr>
            </w:pPr>
            <w:r>
              <w:rPr>
                <w:rFonts w:hint="eastAsia" w:hAnsi="宋体"/>
                <w:sz w:val="24"/>
              </w:rPr>
              <w:t>交货</w:t>
            </w:r>
            <w:r>
              <w:rPr>
                <w:rFonts w:hint="eastAsia" w:hAnsi="宋体" w:cs="Courier New"/>
                <w:sz w:val="24"/>
                <w:szCs w:val="24"/>
              </w:rPr>
              <w:t>期</w:t>
            </w:r>
          </w:p>
        </w:tc>
        <w:tc>
          <w:tcPr>
            <w:tcW w:w="1417" w:type="dxa"/>
            <w:tcBorders>
              <w:top w:val="single" w:color="auto" w:sz="12" w:space="0"/>
            </w:tcBorders>
            <w:vAlign w:val="center"/>
          </w:tcPr>
          <w:p>
            <w:pPr>
              <w:pStyle w:val="12"/>
              <w:jc w:val="center"/>
              <w:rPr>
                <w:rFonts w:hAnsi="宋体" w:cs="Courier New"/>
                <w:sz w:val="24"/>
                <w:szCs w:val="24"/>
              </w:rPr>
            </w:pPr>
            <w:r>
              <w:rPr>
                <w:rFonts w:hint="eastAsia" w:hAnsi="宋体"/>
                <w:sz w:val="24"/>
              </w:rPr>
              <w:t>交货</w:t>
            </w:r>
            <w:r>
              <w:rPr>
                <w:rFonts w:hint="eastAsia" w:hAnsi="宋体" w:cs="Courier New"/>
                <w:sz w:val="24"/>
                <w:szCs w:val="24"/>
              </w:rPr>
              <w:t>地点</w:t>
            </w:r>
          </w:p>
        </w:tc>
        <w:tc>
          <w:tcPr>
            <w:tcW w:w="1218" w:type="dxa"/>
            <w:tcBorders>
              <w:top w:val="single" w:color="auto" w:sz="12" w:space="0"/>
            </w:tcBorders>
            <w:vAlign w:val="center"/>
          </w:tcPr>
          <w:p>
            <w:pPr>
              <w:pStyle w:val="12"/>
              <w:jc w:val="center"/>
              <w:rPr>
                <w:rFonts w:hAnsi="宋体" w:cs="Courier New"/>
                <w:sz w:val="24"/>
                <w:szCs w:val="24"/>
              </w:rPr>
            </w:pPr>
            <w:r>
              <w:rPr>
                <w:rFonts w:hint="eastAsia" w:hAnsi="宋体" w:cs="Courier New"/>
                <w:sz w:val="24"/>
                <w:szCs w:val="24"/>
              </w:rPr>
              <w:t>原产地和制造商名称</w:t>
            </w:r>
          </w:p>
        </w:tc>
        <w:tc>
          <w:tcPr>
            <w:tcW w:w="921" w:type="dxa"/>
            <w:tcBorders>
              <w:top w:val="single" w:color="auto" w:sz="12" w:space="0"/>
            </w:tcBorders>
            <w:vAlign w:val="center"/>
          </w:tcPr>
          <w:p>
            <w:pPr>
              <w:pStyle w:val="12"/>
              <w:jc w:val="center"/>
              <w:rPr>
                <w:rFonts w:hAnsi="宋体" w:cs="Courier New"/>
                <w:sz w:val="24"/>
                <w:szCs w:val="24"/>
              </w:rPr>
            </w:pPr>
            <w:r>
              <w:rPr>
                <w:rFonts w:hint="eastAsia" w:hAnsi="宋体" w:cs="Courier New"/>
                <w:sz w:val="24"/>
                <w:szCs w:val="24"/>
              </w:rPr>
              <w:t>单价</w:t>
            </w:r>
          </w:p>
        </w:tc>
        <w:tc>
          <w:tcPr>
            <w:tcW w:w="1435" w:type="dxa"/>
            <w:tcBorders>
              <w:top w:val="single" w:color="auto" w:sz="12" w:space="0"/>
            </w:tcBorders>
            <w:vAlign w:val="center"/>
          </w:tcPr>
          <w:p>
            <w:pPr>
              <w:pStyle w:val="12"/>
              <w:jc w:val="center"/>
              <w:rPr>
                <w:rFonts w:hAnsi="宋体" w:cs="Courier New"/>
                <w:sz w:val="24"/>
                <w:szCs w:val="24"/>
              </w:rPr>
            </w:pPr>
            <w:r>
              <w:rPr>
                <w:rFonts w:hint="eastAsia" w:hAnsi="宋体" w:cs="Courier New"/>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2"/>
              <w:ind w:left="840"/>
              <w:jc w:val="left"/>
              <w:rPr>
                <w:rFonts w:hAnsi="宋体" w:cs="Courier New"/>
                <w:sz w:val="24"/>
                <w:szCs w:val="24"/>
              </w:rPr>
            </w:pPr>
            <w:r>
              <w:rPr>
                <w:rFonts w:hint="eastAsia" w:hAnsi="宋体" w:cs="Courier New"/>
                <w:sz w:val="24"/>
                <w:szCs w:val="24"/>
              </w:rPr>
              <w:t>1.</w:t>
            </w:r>
          </w:p>
        </w:tc>
        <w:tc>
          <w:tcPr>
            <w:tcW w:w="2085" w:type="dxa"/>
            <w:vAlign w:val="center"/>
          </w:tcPr>
          <w:p>
            <w:pPr>
              <w:pStyle w:val="12"/>
              <w:ind w:left="840"/>
              <w:rPr>
                <w:rFonts w:hAnsi="宋体" w:cs="Courier New"/>
                <w:sz w:val="24"/>
                <w:szCs w:val="24"/>
              </w:rPr>
            </w:pPr>
          </w:p>
        </w:tc>
        <w:tc>
          <w:tcPr>
            <w:tcW w:w="1914" w:type="dxa"/>
            <w:vAlign w:val="center"/>
          </w:tcPr>
          <w:p>
            <w:pPr>
              <w:pStyle w:val="12"/>
              <w:ind w:left="840"/>
              <w:jc w:val="center"/>
              <w:rPr>
                <w:rFonts w:hAnsi="宋体" w:cs="Courier New"/>
                <w:sz w:val="24"/>
                <w:szCs w:val="24"/>
              </w:rPr>
            </w:pPr>
          </w:p>
        </w:tc>
        <w:tc>
          <w:tcPr>
            <w:tcW w:w="1275" w:type="dxa"/>
            <w:vAlign w:val="center"/>
          </w:tcPr>
          <w:p>
            <w:pPr>
              <w:pStyle w:val="12"/>
              <w:ind w:left="840"/>
              <w:jc w:val="center"/>
              <w:rPr>
                <w:rFonts w:hAnsi="宋体" w:cs="Courier New"/>
                <w:sz w:val="24"/>
                <w:szCs w:val="24"/>
              </w:rPr>
            </w:pPr>
          </w:p>
        </w:tc>
        <w:tc>
          <w:tcPr>
            <w:tcW w:w="1418" w:type="dxa"/>
            <w:vAlign w:val="center"/>
          </w:tcPr>
          <w:p>
            <w:pPr>
              <w:pStyle w:val="12"/>
              <w:ind w:left="840"/>
              <w:jc w:val="center"/>
              <w:rPr>
                <w:rFonts w:hAnsi="宋体" w:cs="Courier New"/>
                <w:sz w:val="24"/>
                <w:szCs w:val="24"/>
              </w:rPr>
            </w:pPr>
          </w:p>
        </w:tc>
        <w:tc>
          <w:tcPr>
            <w:tcW w:w="1417" w:type="dxa"/>
            <w:vAlign w:val="center"/>
          </w:tcPr>
          <w:p>
            <w:pPr>
              <w:pStyle w:val="12"/>
              <w:ind w:left="840"/>
              <w:jc w:val="center"/>
              <w:rPr>
                <w:rFonts w:hAnsi="宋体" w:cs="Courier New"/>
                <w:sz w:val="24"/>
                <w:szCs w:val="24"/>
              </w:rPr>
            </w:pPr>
          </w:p>
        </w:tc>
        <w:tc>
          <w:tcPr>
            <w:tcW w:w="1218" w:type="dxa"/>
            <w:vAlign w:val="center"/>
          </w:tcPr>
          <w:p>
            <w:pPr>
              <w:pStyle w:val="12"/>
              <w:ind w:left="840"/>
              <w:jc w:val="center"/>
              <w:rPr>
                <w:rFonts w:hAnsi="宋体" w:cs="Courier New"/>
                <w:sz w:val="24"/>
                <w:szCs w:val="24"/>
              </w:rPr>
            </w:pPr>
          </w:p>
        </w:tc>
        <w:tc>
          <w:tcPr>
            <w:tcW w:w="921" w:type="dxa"/>
            <w:vAlign w:val="center"/>
          </w:tcPr>
          <w:p>
            <w:pPr>
              <w:pStyle w:val="12"/>
              <w:ind w:left="840"/>
              <w:jc w:val="center"/>
              <w:rPr>
                <w:rFonts w:hAnsi="宋体" w:cs="Courier New"/>
                <w:sz w:val="24"/>
                <w:szCs w:val="24"/>
              </w:rPr>
            </w:pPr>
          </w:p>
        </w:tc>
        <w:tc>
          <w:tcPr>
            <w:tcW w:w="1435" w:type="dxa"/>
            <w:vAlign w:val="center"/>
          </w:tcPr>
          <w:p>
            <w:pPr>
              <w:pStyle w:val="12"/>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2"/>
              <w:ind w:left="840"/>
              <w:jc w:val="left"/>
              <w:rPr>
                <w:rFonts w:hAnsi="宋体" w:cs="Courier New"/>
                <w:sz w:val="24"/>
                <w:szCs w:val="24"/>
              </w:rPr>
            </w:pPr>
            <w:r>
              <w:rPr>
                <w:rFonts w:hint="eastAsia" w:hAnsi="宋体" w:cs="Courier New"/>
                <w:sz w:val="24"/>
                <w:szCs w:val="24"/>
              </w:rPr>
              <w:t>2.</w:t>
            </w:r>
          </w:p>
        </w:tc>
        <w:tc>
          <w:tcPr>
            <w:tcW w:w="2085" w:type="dxa"/>
            <w:vAlign w:val="center"/>
          </w:tcPr>
          <w:p>
            <w:pPr>
              <w:pStyle w:val="12"/>
              <w:ind w:left="840"/>
              <w:rPr>
                <w:rFonts w:hAnsi="宋体" w:cs="Courier New"/>
                <w:sz w:val="24"/>
                <w:szCs w:val="24"/>
              </w:rPr>
            </w:pPr>
          </w:p>
        </w:tc>
        <w:tc>
          <w:tcPr>
            <w:tcW w:w="1914" w:type="dxa"/>
            <w:vAlign w:val="center"/>
          </w:tcPr>
          <w:p>
            <w:pPr>
              <w:pStyle w:val="12"/>
              <w:ind w:left="840"/>
              <w:jc w:val="center"/>
              <w:rPr>
                <w:rFonts w:hAnsi="宋体" w:cs="Courier New"/>
                <w:sz w:val="24"/>
                <w:szCs w:val="24"/>
              </w:rPr>
            </w:pPr>
          </w:p>
        </w:tc>
        <w:tc>
          <w:tcPr>
            <w:tcW w:w="1275" w:type="dxa"/>
            <w:vAlign w:val="center"/>
          </w:tcPr>
          <w:p>
            <w:pPr>
              <w:pStyle w:val="12"/>
              <w:ind w:left="840"/>
              <w:jc w:val="center"/>
              <w:rPr>
                <w:rFonts w:hAnsi="宋体" w:cs="Courier New"/>
                <w:sz w:val="24"/>
                <w:szCs w:val="24"/>
              </w:rPr>
            </w:pPr>
          </w:p>
        </w:tc>
        <w:tc>
          <w:tcPr>
            <w:tcW w:w="1418" w:type="dxa"/>
            <w:vAlign w:val="center"/>
          </w:tcPr>
          <w:p>
            <w:pPr>
              <w:pStyle w:val="12"/>
              <w:ind w:left="840"/>
              <w:jc w:val="center"/>
              <w:rPr>
                <w:rFonts w:hAnsi="宋体" w:cs="Courier New"/>
                <w:sz w:val="24"/>
                <w:szCs w:val="24"/>
              </w:rPr>
            </w:pPr>
          </w:p>
        </w:tc>
        <w:tc>
          <w:tcPr>
            <w:tcW w:w="1417" w:type="dxa"/>
            <w:vAlign w:val="center"/>
          </w:tcPr>
          <w:p>
            <w:pPr>
              <w:pStyle w:val="12"/>
              <w:ind w:left="840"/>
              <w:jc w:val="center"/>
              <w:rPr>
                <w:rFonts w:hAnsi="宋体" w:cs="Courier New"/>
                <w:sz w:val="24"/>
                <w:szCs w:val="24"/>
              </w:rPr>
            </w:pPr>
          </w:p>
        </w:tc>
        <w:tc>
          <w:tcPr>
            <w:tcW w:w="1218" w:type="dxa"/>
            <w:vAlign w:val="center"/>
          </w:tcPr>
          <w:p>
            <w:pPr>
              <w:pStyle w:val="12"/>
              <w:ind w:left="840"/>
              <w:jc w:val="center"/>
              <w:rPr>
                <w:rFonts w:hAnsi="宋体" w:cs="Courier New"/>
                <w:sz w:val="24"/>
                <w:szCs w:val="24"/>
              </w:rPr>
            </w:pPr>
          </w:p>
        </w:tc>
        <w:tc>
          <w:tcPr>
            <w:tcW w:w="921" w:type="dxa"/>
            <w:vAlign w:val="center"/>
          </w:tcPr>
          <w:p>
            <w:pPr>
              <w:pStyle w:val="12"/>
              <w:ind w:left="840"/>
              <w:jc w:val="center"/>
              <w:rPr>
                <w:rFonts w:hAnsi="宋体" w:cs="Courier New"/>
                <w:sz w:val="24"/>
                <w:szCs w:val="24"/>
              </w:rPr>
            </w:pPr>
          </w:p>
        </w:tc>
        <w:tc>
          <w:tcPr>
            <w:tcW w:w="1435" w:type="dxa"/>
            <w:vAlign w:val="center"/>
          </w:tcPr>
          <w:p>
            <w:pPr>
              <w:pStyle w:val="12"/>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2"/>
              <w:ind w:left="840"/>
              <w:jc w:val="left"/>
              <w:rPr>
                <w:rFonts w:hAnsi="宋体" w:cs="Courier New"/>
                <w:sz w:val="24"/>
                <w:szCs w:val="24"/>
              </w:rPr>
            </w:pPr>
            <w:r>
              <w:rPr>
                <w:rFonts w:hint="eastAsia" w:hAnsi="宋体" w:cs="Courier New"/>
                <w:sz w:val="24"/>
                <w:szCs w:val="24"/>
              </w:rPr>
              <w:t>3.</w:t>
            </w:r>
          </w:p>
        </w:tc>
        <w:tc>
          <w:tcPr>
            <w:tcW w:w="2085" w:type="dxa"/>
            <w:vAlign w:val="center"/>
          </w:tcPr>
          <w:p>
            <w:pPr>
              <w:pStyle w:val="12"/>
              <w:ind w:left="840"/>
              <w:rPr>
                <w:rFonts w:hAnsi="宋体" w:cs="Courier New"/>
                <w:sz w:val="24"/>
                <w:szCs w:val="24"/>
              </w:rPr>
            </w:pPr>
          </w:p>
        </w:tc>
        <w:tc>
          <w:tcPr>
            <w:tcW w:w="1914" w:type="dxa"/>
            <w:vAlign w:val="center"/>
          </w:tcPr>
          <w:p>
            <w:pPr>
              <w:pStyle w:val="12"/>
              <w:ind w:left="840"/>
              <w:jc w:val="center"/>
              <w:rPr>
                <w:rFonts w:hAnsi="宋体" w:cs="Courier New"/>
                <w:sz w:val="24"/>
                <w:szCs w:val="24"/>
              </w:rPr>
            </w:pPr>
          </w:p>
        </w:tc>
        <w:tc>
          <w:tcPr>
            <w:tcW w:w="1275" w:type="dxa"/>
            <w:vAlign w:val="center"/>
          </w:tcPr>
          <w:p>
            <w:pPr>
              <w:pStyle w:val="12"/>
              <w:ind w:left="840"/>
              <w:jc w:val="center"/>
              <w:rPr>
                <w:rFonts w:hAnsi="宋体" w:cs="Courier New"/>
                <w:sz w:val="24"/>
                <w:szCs w:val="24"/>
              </w:rPr>
            </w:pPr>
          </w:p>
        </w:tc>
        <w:tc>
          <w:tcPr>
            <w:tcW w:w="1418" w:type="dxa"/>
            <w:vAlign w:val="center"/>
          </w:tcPr>
          <w:p>
            <w:pPr>
              <w:pStyle w:val="12"/>
              <w:ind w:left="840"/>
              <w:jc w:val="center"/>
              <w:rPr>
                <w:rFonts w:hAnsi="宋体" w:cs="Courier New"/>
                <w:sz w:val="24"/>
                <w:szCs w:val="24"/>
              </w:rPr>
            </w:pPr>
          </w:p>
        </w:tc>
        <w:tc>
          <w:tcPr>
            <w:tcW w:w="1417" w:type="dxa"/>
            <w:vAlign w:val="center"/>
          </w:tcPr>
          <w:p>
            <w:pPr>
              <w:pStyle w:val="12"/>
              <w:ind w:left="840"/>
              <w:jc w:val="center"/>
              <w:rPr>
                <w:rFonts w:hAnsi="宋体" w:cs="Courier New"/>
                <w:sz w:val="24"/>
                <w:szCs w:val="24"/>
              </w:rPr>
            </w:pPr>
          </w:p>
        </w:tc>
        <w:tc>
          <w:tcPr>
            <w:tcW w:w="1218" w:type="dxa"/>
            <w:vAlign w:val="center"/>
          </w:tcPr>
          <w:p>
            <w:pPr>
              <w:pStyle w:val="12"/>
              <w:ind w:left="840"/>
              <w:jc w:val="center"/>
              <w:rPr>
                <w:rFonts w:hAnsi="宋体" w:cs="Courier New"/>
                <w:sz w:val="24"/>
                <w:szCs w:val="24"/>
              </w:rPr>
            </w:pPr>
          </w:p>
        </w:tc>
        <w:tc>
          <w:tcPr>
            <w:tcW w:w="921" w:type="dxa"/>
            <w:vAlign w:val="center"/>
          </w:tcPr>
          <w:p>
            <w:pPr>
              <w:pStyle w:val="12"/>
              <w:ind w:left="840"/>
              <w:jc w:val="center"/>
              <w:rPr>
                <w:rFonts w:hAnsi="宋体" w:cs="Courier New"/>
                <w:sz w:val="24"/>
                <w:szCs w:val="24"/>
              </w:rPr>
            </w:pPr>
          </w:p>
        </w:tc>
        <w:tc>
          <w:tcPr>
            <w:tcW w:w="1435" w:type="dxa"/>
            <w:vAlign w:val="center"/>
          </w:tcPr>
          <w:p>
            <w:pPr>
              <w:pStyle w:val="12"/>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2"/>
              <w:ind w:left="840"/>
              <w:jc w:val="left"/>
              <w:rPr>
                <w:rFonts w:hAnsi="宋体" w:cs="Courier New"/>
                <w:sz w:val="24"/>
                <w:szCs w:val="24"/>
              </w:rPr>
            </w:pPr>
            <w:r>
              <w:rPr>
                <w:rFonts w:hint="eastAsia" w:hAnsi="宋体" w:cs="Courier New"/>
                <w:sz w:val="24"/>
                <w:szCs w:val="24"/>
              </w:rPr>
              <w:t>4.</w:t>
            </w:r>
          </w:p>
        </w:tc>
        <w:tc>
          <w:tcPr>
            <w:tcW w:w="2085" w:type="dxa"/>
            <w:vAlign w:val="center"/>
          </w:tcPr>
          <w:p>
            <w:pPr>
              <w:pStyle w:val="12"/>
              <w:ind w:left="840"/>
              <w:rPr>
                <w:rFonts w:hAnsi="宋体" w:cs="Courier New"/>
                <w:sz w:val="24"/>
                <w:szCs w:val="24"/>
              </w:rPr>
            </w:pPr>
          </w:p>
        </w:tc>
        <w:tc>
          <w:tcPr>
            <w:tcW w:w="1914" w:type="dxa"/>
            <w:vAlign w:val="center"/>
          </w:tcPr>
          <w:p>
            <w:pPr>
              <w:pStyle w:val="12"/>
              <w:ind w:left="840"/>
              <w:jc w:val="center"/>
              <w:rPr>
                <w:rFonts w:hAnsi="宋体" w:cs="Courier New"/>
                <w:sz w:val="24"/>
                <w:szCs w:val="24"/>
              </w:rPr>
            </w:pPr>
          </w:p>
        </w:tc>
        <w:tc>
          <w:tcPr>
            <w:tcW w:w="1275" w:type="dxa"/>
            <w:vAlign w:val="center"/>
          </w:tcPr>
          <w:p>
            <w:pPr>
              <w:pStyle w:val="12"/>
              <w:ind w:left="840"/>
              <w:jc w:val="center"/>
              <w:rPr>
                <w:rFonts w:hAnsi="宋体" w:cs="Courier New"/>
                <w:sz w:val="24"/>
                <w:szCs w:val="24"/>
              </w:rPr>
            </w:pPr>
          </w:p>
        </w:tc>
        <w:tc>
          <w:tcPr>
            <w:tcW w:w="1418" w:type="dxa"/>
            <w:vAlign w:val="center"/>
          </w:tcPr>
          <w:p>
            <w:pPr>
              <w:pStyle w:val="12"/>
              <w:ind w:left="840"/>
              <w:jc w:val="center"/>
              <w:rPr>
                <w:rFonts w:hAnsi="宋体" w:cs="Courier New"/>
                <w:sz w:val="24"/>
                <w:szCs w:val="24"/>
              </w:rPr>
            </w:pPr>
          </w:p>
        </w:tc>
        <w:tc>
          <w:tcPr>
            <w:tcW w:w="1417" w:type="dxa"/>
            <w:vAlign w:val="center"/>
          </w:tcPr>
          <w:p>
            <w:pPr>
              <w:pStyle w:val="12"/>
              <w:ind w:left="840"/>
              <w:jc w:val="center"/>
              <w:rPr>
                <w:rFonts w:hAnsi="宋体" w:cs="Courier New"/>
                <w:sz w:val="24"/>
                <w:szCs w:val="24"/>
              </w:rPr>
            </w:pPr>
          </w:p>
        </w:tc>
        <w:tc>
          <w:tcPr>
            <w:tcW w:w="1218" w:type="dxa"/>
            <w:vAlign w:val="center"/>
          </w:tcPr>
          <w:p>
            <w:pPr>
              <w:pStyle w:val="12"/>
              <w:ind w:left="840"/>
              <w:jc w:val="center"/>
              <w:rPr>
                <w:rFonts w:hAnsi="宋体" w:cs="Courier New"/>
                <w:sz w:val="24"/>
                <w:szCs w:val="24"/>
              </w:rPr>
            </w:pPr>
          </w:p>
        </w:tc>
        <w:tc>
          <w:tcPr>
            <w:tcW w:w="921" w:type="dxa"/>
            <w:vAlign w:val="center"/>
          </w:tcPr>
          <w:p>
            <w:pPr>
              <w:pStyle w:val="12"/>
              <w:ind w:left="840"/>
              <w:jc w:val="center"/>
              <w:rPr>
                <w:rFonts w:hAnsi="宋体" w:cs="Courier New"/>
                <w:sz w:val="24"/>
                <w:szCs w:val="24"/>
              </w:rPr>
            </w:pPr>
          </w:p>
        </w:tc>
        <w:tc>
          <w:tcPr>
            <w:tcW w:w="1435" w:type="dxa"/>
            <w:vAlign w:val="center"/>
          </w:tcPr>
          <w:p>
            <w:pPr>
              <w:pStyle w:val="12"/>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2"/>
              <w:ind w:left="840"/>
              <w:jc w:val="left"/>
              <w:rPr>
                <w:rFonts w:hAnsi="宋体" w:cs="Courier New"/>
                <w:sz w:val="24"/>
                <w:szCs w:val="24"/>
              </w:rPr>
            </w:pPr>
            <w:r>
              <w:rPr>
                <w:rFonts w:hint="eastAsia" w:hAnsi="宋体" w:cs="Courier New"/>
                <w:sz w:val="24"/>
                <w:szCs w:val="24"/>
              </w:rPr>
              <w:t>5.</w:t>
            </w:r>
          </w:p>
        </w:tc>
        <w:tc>
          <w:tcPr>
            <w:tcW w:w="2085" w:type="dxa"/>
            <w:vAlign w:val="center"/>
          </w:tcPr>
          <w:p>
            <w:pPr>
              <w:pStyle w:val="12"/>
              <w:ind w:left="840"/>
              <w:rPr>
                <w:rFonts w:hAnsi="宋体" w:cs="Courier New"/>
                <w:sz w:val="24"/>
                <w:szCs w:val="24"/>
              </w:rPr>
            </w:pPr>
          </w:p>
        </w:tc>
        <w:tc>
          <w:tcPr>
            <w:tcW w:w="1914" w:type="dxa"/>
            <w:vAlign w:val="center"/>
          </w:tcPr>
          <w:p>
            <w:pPr>
              <w:pStyle w:val="12"/>
              <w:ind w:left="840"/>
              <w:jc w:val="center"/>
              <w:rPr>
                <w:rFonts w:hAnsi="宋体" w:cs="Courier New"/>
                <w:sz w:val="24"/>
                <w:szCs w:val="24"/>
              </w:rPr>
            </w:pPr>
          </w:p>
        </w:tc>
        <w:tc>
          <w:tcPr>
            <w:tcW w:w="1275" w:type="dxa"/>
            <w:vAlign w:val="center"/>
          </w:tcPr>
          <w:p>
            <w:pPr>
              <w:pStyle w:val="12"/>
              <w:ind w:left="840"/>
              <w:jc w:val="center"/>
              <w:rPr>
                <w:rFonts w:hAnsi="宋体" w:cs="Courier New"/>
                <w:sz w:val="24"/>
                <w:szCs w:val="24"/>
              </w:rPr>
            </w:pPr>
          </w:p>
        </w:tc>
        <w:tc>
          <w:tcPr>
            <w:tcW w:w="1418" w:type="dxa"/>
            <w:vAlign w:val="center"/>
          </w:tcPr>
          <w:p>
            <w:pPr>
              <w:pStyle w:val="12"/>
              <w:ind w:left="840"/>
              <w:jc w:val="center"/>
              <w:rPr>
                <w:rFonts w:hAnsi="宋体" w:cs="Courier New"/>
                <w:sz w:val="24"/>
                <w:szCs w:val="24"/>
              </w:rPr>
            </w:pPr>
          </w:p>
        </w:tc>
        <w:tc>
          <w:tcPr>
            <w:tcW w:w="1417" w:type="dxa"/>
            <w:vAlign w:val="center"/>
          </w:tcPr>
          <w:p>
            <w:pPr>
              <w:pStyle w:val="12"/>
              <w:ind w:left="840"/>
              <w:jc w:val="center"/>
              <w:rPr>
                <w:rFonts w:hAnsi="宋体" w:cs="Courier New"/>
                <w:sz w:val="24"/>
                <w:szCs w:val="24"/>
              </w:rPr>
            </w:pPr>
          </w:p>
        </w:tc>
        <w:tc>
          <w:tcPr>
            <w:tcW w:w="1218" w:type="dxa"/>
            <w:vAlign w:val="center"/>
          </w:tcPr>
          <w:p>
            <w:pPr>
              <w:pStyle w:val="12"/>
              <w:ind w:left="840"/>
              <w:jc w:val="center"/>
              <w:rPr>
                <w:rFonts w:hAnsi="宋体" w:cs="Courier New"/>
                <w:sz w:val="24"/>
                <w:szCs w:val="24"/>
              </w:rPr>
            </w:pPr>
          </w:p>
        </w:tc>
        <w:tc>
          <w:tcPr>
            <w:tcW w:w="921" w:type="dxa"/>
            <w:vAlign w:val="center"/>
          </w:tcPr>
          <w:p>
            <w:pPr>
              <w:pStyle w:val="12"/>
              <w:ind w:left="840"/>
              <w:jc w:val="center"/>
              <w:rPr>
                <w:rFonts w:hAnsi="宋体" w:cs="Courier New"/>
                <w:sz w:val="24"/>
                <w:szCs w:val="24"/>
              </w:rPr>
            </w:pPr>
          </w:p>
        </w:tc>
        <w:tc>
          <w:tcPr>
            <w:tcW w:w="1435" w:type="dxa"/>
            <w:vAlign w:val="center"/>
          </w:tcPr>
          <w:p>
            <w:pPr>
              <w:pStyle w:val="12"/>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2"/>
              <w:ind w:left="840"/>
              <w:jc w:val="left"/>
              <w:rPr>
                <w:rFonts w:hAnsi="宋体" w:cs="Courier New"/>
                <w:sz w:val="24"/>
                <w:szCs w:val="24"/>
              </w:rPr>
            </w:pPr>
            <w:r>
              <w:rPr>
                <w:rFonts w:hint="eastAsia" w:hAnsi="宋体" w:cs="Courier New"/>
                <w:sz w:val="24"/>
                <w:szCs w:val="24"/>
              </w:rPr>
              <w:t>6.</w:t>
            </w:r>
          </w:p>
        </w:tc>
        <w:tc>
          <w:tcPr>
            <w:tcW w:w="2085" w:type="dxa"/>
            <w:vAlign w:val="center"/>
          </w:tcPr>
          <w:p>
            <w:pPr>
              <w:pStyle w:val="12"/>
              <w:ind w:left="840"/>
              <w:rPr>
                <w:rFonts w:hAnsi="宋体" w:cs="Courier New"/>
                <w:sz w:val="24"/>
                <w:szCs w:val="24"/>
              </w:rPr>
            </w:pPr>
          </w:p>
        </w:tc>
        <w:tc>
          <w:tcPr>
            <w:tcW w:w="1914" w:type="dxa"/>
            <w:vAlign w:val="center"/>
          </w:tcPr>
          <w:p>
            <w:pPr>
              <w:pStyle w:val="12"/>
              <w:ind w:left="840"/>
              <w:jc w:val="center"/>
              <w:rPr>
                <w:rFonts w:hAnsi="宋体" w:cs="Courier New"/>
                <w:sz w:val="24"/>
                <w:szCs w:val="24"/>
              </w:rPr>
            </w:pPr>
          </w:p>
        </w:tc>
        <w:tc>
          <w:tcPr>
            <w:tcW w:w="1275" w:type="dxa"/>
            <w:vAlign w:val="center"/>
          </w:tcPr>
          <w:p>
            <w:pPr>
              <w:pStyle w:val="12"/>
              <w:ind w:left="840"/>
              <w:jc w:val="center"/>
              <w:rPr>
                <w:rFonts w:hAnsi="宋体" w:cs="Courier New"/>
                <w:sz w:val="24"/>
                <w:szCs w:val="24"/>
              </w:rPr>
            </w:pPr>
          </w:p>
        </w:tc>
        <w:tc>
          <w:tcPr>
            <w:tcW w:w="1418" w:type="dxa"/>
            <w:vAlign w:val="center"/>
          </w:tcPr>
          <w:p>
            <w:pPr>
              <w:pStyle w:val="12"/>
              <w:ind w:left="840"/>
              <w:jc w:val="center"/>
              <w:rPr>
                <w:rFonts w:hAnsi="宋体" w:cs="Courier New"/>
                <w:sz w:val="24"/>
                <w:szCs w:val="24"/>
              </w:rPr>
            </w:pPr>
          </w:p>
        </w:tc>
        <w:tc>
          <w:tcPr>
            <w:tcW w:w="1417" w:type="dxa"/>
            <w:vAlign w:val="center"/>
          </w:tcPr>
          <w:p>
            <w:pPr>
              <w:pStyle w:val="12"/>
              <w:ind w:left="840"/>
              <w:jc w:val="center"/>
              <w:rPr>
                <w:rFonts w:hAnsi="宋体" w:cs="Courier New"/>
                <w:sz w:val="24"/>
                <w:szCs w:val="24"/>
              </w:rPr>
            </w:pPr>
          </w:p>
        </w:tc>
        <w:tc>
          <w:tcPr>
            <w:tcW w:w="1218" w:type="dxa"/>
            <w:vAlign w:val="center"/>
          </w:tcPr>
          <w:p>
            <w:pPr>
              <w:pStyle w:val="12"/>
              <w:ind w:left="840"/>
              <w:jc w:val="center"/>
              <w:rPr>
                <w:rFonts w:hAnsi="宋体" w:cs="Courier New"/>
                <w:sz w:val="24"/>
                <w:szCs w:val="24"/>
              </w:rPr>
            </w:pPr>
          </w:p>
        </w:tc>
        <w:tc>
          <w:tcPr>
            <w:tcW w:w="921" w:type="dxa"/>
            <w:vAlign w:val="center"/>
          </w:tcPr>
          <w:p>
            <w:pPr>
              <w:pStyle w:val="12"/>
              <w:ind w:left="840"/>
              <w:jc w:val="center"/>
              <w:rPr>
                <w:rFonts w:hAnsi="宋体" w:cs="Courier New"/>
                <w:sz w:val="24"/>
                <w:szCs w:val="24"/>
              </w:rPr>
            </w:pPr>
          </w:p>
        </w:tc>
        <w:tc>
          <w:tcPr>
            <w:tcW w:w="1435" w:type="dxa"/>
            <w:vAlign w:val="center"/>
          </w:tcPr>
          <w:p>
            <w:pPr>
              <w:pStyle w:val="12"/>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2"/>
              <w:ind w:firstLine="120" w:firstLineChars="50"/>
              <w:rPr>
                <w:rFonts w:hAnsi="宋体" w:cs="Courier New"/>
                <w:sz w:val="24"/>
                <w:szCs w:val="24"/>
              </w:rPr>
            </w:pPr>
            <w:r>
              <w:rPr>
                <w:rFonts w:hAnsi="宋体" w:cs="Courier New"/>
                <w:sz w:val="24"/>
                <w:szCs w:val="24"/>
              </w:rPr>
              <w:t>…</w:t>
            </w:r>
          </w:p>
        </w:tc>
        <w:tc>
          <w:tcPr>
            <w:tcW w:w="2085" w:type="dxa"/>
            <w:vAlign w:val="center"/>
          </w:tcPr>
          <w:p>
            <w:pPr>
              <w:pStyle w:val="12"/>
              <w:ind w:left="840"/>
              <w:rPr>
                <w:rFonts w:hAnsi="宋体" w:cs="Courier New"/>
                <w:sz w:val="24"/>
                <w:szCs w:val="24"/>
              </w:rPr>
            </w:pPr>
          </w:p>
        </w:tc>
        <w:tc>
          <w:tcPr>
            <w:tcW w:w="1914" w:type="dxa"/>
            <w:vAlign w:val="center"/>
          </w:tcPr>
          <w:p>
            <w:pPr>
              <w:pStyle w:val="12"/>
              <w:ind w:left="840"/>
              <w:jc w:val="center"/>
              <w:rPr>
                <w:rFonts w:hAnsi="宋体" w:cs="Courier New"/>
                <w:sz w:val="24"/>
                <w:szCs w:val="24"/>
              </w:rPr>
            </w:pPr>
          </w:p>
        </w:tc>
        <w:tc>
          <w:tcPr>
            <w:tcW w:w="1275" w:type="dxa"/>
            <w:vAlign w:val="center"/>
          </w:tcPr>
          <w:p>
            <w:pPr>
              <w:pStyle w:val="12"/>
              <w:ind w:left="840"/>
              <w:jc w:val="center"/>
              <w:rPr>
                <w:rFonts w:hAnsi="宋体" w:cs="Courier New"/>
                <w:sz w:val="24"/>
                <w:szCs w:val="24"/>
              </w:rPr>
            </w:pPr>
          </w:p>
        </w:tc>
        <w:tc>
          <w:tcPr>
            <w:tcW w:w="1418" w:type="dxa"/>
            <w:vAlign w:val="center"/>
          </w:tcPr>
          <w:p>
            <w:pPr>
              <w:pStyle w:val="12"/>
              <w:ind w:left="840"/>
              <w:jc w:val="center"/>
              <w:rPr>
                <w:rFonts w:hAnsi="宋体" w:cs="Courier New"/>
                <w:sz w:val="24"/>
                <w:szCs w:val="24"/>
              </w:rPr>
            </w:pPr>
          </w:p>
        </w:tc>
        <w:tc>
          <w:tcPr>
            <w:tcW w:w="1417" w:type="dxa"/>
            <w:vAlign w:val="center"/>
          </w:tcPr>
          <w:p>
            <w:pPr>
              <w:pStyle w:val="12"/>
              <w:ind w:left="840"/>
              <w:jc w:val="center"/>
              <w:rPr>
                <w:rFonts w:hAnsi="宋体" w:cs="Courier New"/>
                <w:sz w:val="24"/>
                <w:szCs w:val="24"/>
              </w:rPr>
            </w:pPr>
          </w:p>
        </w:tc>
        <w:tc>
          <w:tcPr>
            <w:tcW w:w="1218" w:type="dxa"/>
            <w:vAlign w:val="center"/>
          </w:tcPr>
          <w:p>
            <w:pPr>
              <w:pStyle w:val="12"/>
              <w:ind w:left="840"/>
              <w:jc w:val="center"/>
              <w:rPr>
                <w:rFonts w:hAnsi="宋体" w:cs="Courier New"/>
                <w:sz w:val="24"/>
                <w:szCs w:val="24"/>
              </w:rPr>
            </w:pPr>
          </w:p>
        </w:tc>
        <w:tc>
          <w:tcPr>
            <w:tcW w:w="921" w:type="dxa"/>
            <w:vAlign w:val="center"/>
          </w:tcPr>
          <w:p>
            <w:pPr>
              <w:pStyle w:val="12"/>
              <w:ind w:left="840"/>
              <w:jc w:val="center"/>
              <w:rPr>
                <w:rFonts w:hAnsi="宋体" w:cs="Courier New"/>
                <w:sz w:val="24"/>
                <w:szCs w:val="24"/>
              </w:rPr>
            </w:pPr>
          </w:p>
        </w:tc>
        <w:tc>
          <w:tcPr>
            <w:tcW w:w="1435" w:type="dxa"/>
            <w:vAlign w:val="center"/>
          </w:tcPr>
          <w:p>
            <w:pPr>
              <w:pStyle w:val="12"/>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74" w:type="dxa"/>
            <w:gridSpan w:val="8"/>
            <w:tcBorders>
              <w:bottom w:val="single" w:color="auto" w:sz="12" w:space="0"/>
            </w:tcBorders>
            <w:vAlign w:val="center"/>
          </w:tcPr>
          <w:p>
            <w:pPr>
              <w:pStyle w:val="12"/>
              <w:spacing w:before="156"/>
              <w:ind w:left="840"/>
              <w:jc w:val="right"/>
              <w:rPr>
                <w:rFonts w:hAnsi="宋体" w:cs="Courier New"/>
                <w:sz w:val="24"/>
                <w:szCs w:val="24"/>
              </w:rPr>
            </w:pPr>
            <w:r>
              <w:rPr>
                <w:rFonts w:hint="eastAsia" w:hAnsi="宋体" w:cs="Courier New"/>
                <w:sz w:val="24"/>
                <w:szCs w:val="24"/>
              </w:rPr>
              <w:t>总计</w:t>
            </w:r>
          </w:p>
        </w:tc>
        <w:tc>
          <w:tcPr>
            <w:tcW w:w="1435" w:type="dxa"/>
            <w:tcBorders>
              <w:bottom w:val="single" w:color="auto" w:sz="12" w:space="0"/>
            </w:tcBorders>
            <w:vAlign w:val="center"/>
          </w:tcPr>
          <w:p>
            <w:pPr>
              <w:pStyle w:val="12"/>
              <w:ind w:left="840"/>
              <w:jc w:val="center"/>
              <w:rPr>
                <w:rFonts w:hAnsi="宋体" w:cs="Courier New"/>
                <w:sz w:val="24"/>
                <w:szCs w:val="24"/>
              </w:rPr>
            </w:pPr>
          </w:p>
        </w:tc>
      </w:tr>
    </w:tbl>
    <w:p>
      <w:pPr>
        <w:pStyle w:val="12"/>
        <w:ind w:left="840"/>
        <w:rPr>
          <w:rFonts w:hAnsi="宋体"/>
          <w:sz w:val="24"/>
          <w:szCs w:val="24"/>
        </w:rPr>
      </w:pPr>
    </w:p>
    <w:p>
      <w:pPr>
        <w:pStyle w:val="12"/>
        <w:tabs>
          <w:tab w:val="left" w:pos="5580"/>
        </w:tabs>
        <w:spacing w:before="120" w:line="480" w:lineRule="auto"/>
        <w:ind w:left="840"/>
        <w:rPr>
          <w:rFonts w:hAnsi="宋体"/>
          <w:sz w:val="24"/>
          <w:szCs w:val="24"/>
        </w:rPr>
      </w:pPr>
      <w:r>
        <w:rPr>
          <w:rFonts w:hint="eastAsia" w:hAnsi="宋体"/>
          <w:sz w:val="24"/>
          <w:szCs w:val="24"/>
        </w:rPr>
        <w:t>投标人名称（盖章）：</w:t>
      </w:r>
    </w:p>
    <w:p>
      <w:pPr>
        <w:pStyle w:val="12"/>
        <w:tabs>
          <w:tab w:val="left" w:pos="5580"/>
        </w:tabs>
        <w:spacing w:before="120" w:line="480" w:lineRule="auto"/>
        <w:ind w:left="840"/>
        <w:rPr>
          <w:rFonts w:hAnsi="宋体"/>
          <w:sz w:val="24"/>
          <w:szCs w:val="24"/>
        </w:rPr>
      </w:pPr>
      <w:r>
        <w:rPr>
          <w:rFonts w:hint="eastAsia" w:hAnsi="宋体"/>
          <w:sz w:val="24"/>
          <w:szCs w:val="24"/>
        </w:rPr>
        <w:t>授权代表（签字）：</w:t>
      </w:r>
    </w:p>
    <w:p>
      <w:pPr>
        <w:pStyle w:val="12"/>
        <w:spacing w:line="480" w:lineRule="auto"/>
        <w:ind w:left="840"/>
        <w:rPr>
          <w:rFonts w:hAnsi="宋体"/>
          <w:sz w:val="24"/>
          <w:szCs w:val="24"/>
        </w:rPr>
      </w:pPr>
      <w:r>
        <w:rPr>
          <w:rFonts w:hint="eastAsia" w:hAnsi="宋体"/>
          <w:sz w:val="24"/>
          <w:szCs w:val="24"/>
        </w:rPr>
        <w:t>注:1.如果单价计算的结果与总价不一致，以单价金额计算结果为准。</w:t>
      </w:r>
    </w:p>
    <w:p>
      <w:pPr>
        <w:pStyle w:val="12"/>
        <w:spacing w:line="480" w:lineRule="auto"/>
        <w:ind w:left="840"/>
        <w:rPr>
          <w:rFonts w:hAnsi="宋体"/>
          <w:sz w:val="24"/>
          <w:szCs w:val="24"/>
        </w:rPr>
      </w:pPr>
      <w:r>
        <w:rPr>
          <w:rFonts w:hint="eastAsia" w:hAnsi="宋体"/>
          <w:sz w:val="24"/>
          <w:szCs w:val="24"/>
        </w:rPr>
        <w:t xml:space="preserve">   2.上述各项的详细分项报价，应另页描述。</w:t>
      </w:r>
    </w:p>
    <w:p>
      <w:pPr>
        <w:pStyle w:val="12"/>
        <w:spacing w:line="360" w:lineRule="auto"/>
        <w:rPr>
          <w:rFonts w:hAnsi="宋体"/>
          <w:sz w:val="24"/>
          <w:szCs w:val="24"/>
        </w:rPr>
        <w:sectPr>
          <w:pgSz w:w="16838" w:h="11905" w:orient="landscape"/>
          <w:pgMar w:top="1417" w:right="1088" w:bottom="1417" w:left="1400" w:header="567" w:footer="850" w:gutter="0"/>
          <w:cols w:space="0" w:num="1"/>
          <w:docGrid w:linePitch="312" w:charSpace="0"/>
        </w:sectPr>
      </w:pPr>
    </w:p>
    <w:bookmarkEnd w:id="533"/>
    <w:bookmarkEnd w:id="534"/>
    <w:p>
      <w:pPr>
        <w:pStyle w:val="6"/>
        <w:tabs>
          <w:tab w:val="left" w:pos="900"/>
        </w:tabs>
        <w:spacing w:line="360" w:lineRule="auto"/>
        <w:jc w:val="center"/>
        <w:rPr>
          <w:rFonts w:hint="default"/>
          <w:sz w:val="24"/>
        </w:rPr>
      </w:pPr>
      <w:bookmarkStart w:id="541" w:name="_Toc7535"/>
      <w:bookmarkStart w:id="542" w:name="_Toc5895220"/>
      <w:bookmarkStart w:id="543" w:name="_Toc523911437"/>
      <w:bookmarkStart w:id="544" w:name="_Toc40111037"/>
      <w:bookmarkStart w:id="545" w:name="_Toc310195766"/>
      <w:bookmarkStart w:id="546" w:name="_Toc236642993"/>
      <w:r>
        <w:rPr>
          <w:sz w:val="24"/>
        </w:rPr>
        <w:t>4 技术规格偏离表</w:t>
      </w:r>
      <w:bookmarkEnd w:id="541"/>
      <w:bookmarkEnd w:id="542"/>
      <w:bookmarkEnd w:id="543"/>
      <w:bookmarkEnd w:id="544"/>
      <w:bookmarkEnd w:id="545"/>
    </w:p>
    <w:bookmarkEnd w:id="546"/>
    <w:p>
      <w:pPr>
        <w:pStyle w:val="12"/>
        <w:spacing w:line="360" w:lineRule="auto"/>
        <w:ind w:left="840"/>
        <w:rPr>
          <w:rFonts w:hAnsi="宋体"/>
          <w:sz w:val="24"/>
        </w:rPr>
      </w:pPr>
    </w:p>
    <w:p>
      <w:pPr>
        <w:pStyle w:val="12"/>
        <w:spacing w:line="360" w:lineRule="auto"/>
        <w:ind w:left="840"/>
        <w:rPr>
          <w:rFonts w:hAnsi="宋体"/>
          <w:sz w:val="24"/>
        </w:rPr>
      </w:pPr>
      <w:r>
        <w:rPr>
          <w:rFonts w:hint="eastAsia" w:hAnsi="宋体"/>
          <w:sz w:val="24"/>
        </w:rPr>
        <w:t xml:space="preserve">项目名称:___________     项目代理编号:______________ </w:t>
      </w:r>
    </w:p>
    <w:tbl>
      <w:tblPr>
        <w:tblStyle w:val="20"/>
        <w:tblW w:w="76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8"/>
        <w:gridCol w:w="1383"/>
        <w:gridCol w:w="1311"/>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tcBorders>
              <w:top w:val="single" w:color="auto" w:sz="12" w:space="0"/>
            </w:tcBorders>
            <w:vAlign w:val="center"/>
          </w:tcPr>
          <w:p>
            <w:pPr>
              <w:pStyle w:val="12"/>
              <w:spacing w:line="360" w:lineRule="auto"/>
              <w:jc w:val="center"/>
              <w:rPr>
                <w:rFonts w:hAnsi="宋体" w:cs="Courier New"/>
                <w:sz w:val="24"/>
              </w:rPr>
            </w:pPr>
            <w:r>
              <w:rPr>
                <w:rFonts w:hint="eastAsia" w:hAnsi="宋体" w:cs="Courier New"/>
                <w:sz w:val="24"/>
              </w:rPr>
              <w:t>序号</w:t>
            </w:r>
          </w:p>
        </w:tc>
        <w:tc>
          <w:tcPr>
            <w:tcW w:w="1418" w:type="dxa"/>
            <w:tcBorders>
              <w:top w:val="single" w:color="auto" w:sz="12" w:space="0"/>
            </w:tcBorders>
            <w:vAlign w:val="center"/>
          </w:tcPr>
          <w:p>
            <w:pPr>
              <w:pStyle w:val="12"/>
              <w:spacing w:line="360" w:lineRule="auto"/>
              <w:jc w:val="center"/>
              <w:rPr>
                <w:rFonts w:hAnsi="宋体" w:cs="Courier New"/>
                <w:sz w:val="24"/>
              </w:rPr>
            </w:pPr>
            <w:r>
              <w:rPr>
                <w:rFonts w:hint="eastAsia" w:hAnsi="宋体" w:cs="Courier New"/>
                <w:sz w:val="24"/>
              </w:rPr>
              <w:t>货物名称</w:t>
            </w:r>
          </w:p>
        </w:tc>
        <w:tc>
          <w:tcPr>
            <w:tcW w:w="1383" w:type="dxa"/>
            <w:tcBorders>
              <w:top w:val="single" w:color="auto" w:sz="12" w:space="0"/>
            </w:tcBorders>
            <w:vAlign w:val="center"/>
          </w:tcPr>
          <w:p>
            <w:pPr>
              <w:pStyle w:val="12"/>
              <w:spacing w:line="360" w:lineRule="auto"/>
              <w:jc w:val="center"/>
              <w:rPr>
                <w:rFonts w:hAnsi="宋体" w:cs="Courier New"/>
                <w:sz w:val="24"/>
              </w:rPr>
            </w:pPr>
            <w:r>
              <w:rPr>
                <w:rFonts w:hint="eastAsia" w:hAnsi="宋体" w:cs="Courier New"/>
                <w:sz w:val="24"/>
              </w:rPr>
              <w:t>招标规格</w:t>
            </w:r>
          </w:p>
        </w:tc>
        <w:tc>
          <w:tcPr>
            <w:tcW w:w="1311" w:type="dxa"/>
            <w:tcBorders>
              <w:top w:val="single" w:color="auto" w:sz="12" w:space="0"/>
            </w:tcBorders>
            <w:vAlign w:val="center"/>
          </w:tcPr>
          <w:p>
            <w:pPr>
              <w:pStyle w:val="12"/>
              <w:spacing w:line="360" w:lineRule="auto"/>
              <w:jc w:val="center"/>
              <w:rPr>
                <w:rFonts w:hAnsi="宋体" w:cs="Courier New"/>
                <w:sz w:val="24"/>
              </w:rPr>
            </w:pPr>
            <w:r>
              <w:rPr>
                <w:rFonts w:hint="eastAsia" w:hAnsi="宋体" w:cs="Courier New"/>
                <w:sz w:val="24"/>
              </w:rPr>
              <w:t>投标规格</w:t>
            </w:r>
          </w:p>
        </w:tc>
        <w:tc>
          <w:tcPr>
            <w:tcW w:w="1417" w:type="dxa"/>
            <w:tcBorders>
              <w:top w:val="single" w:color="auto" w:sz="12" w:space="0"/>
            </w:tcBorders>
            <w:vAlign w:val="center"/>
          </w:tcPr>
          <w:p>
            <w:pPr>
              <w:pStyle w:val="12"/>
              <w:spacing w:line="360" w:lineRule="auto"/>
              <w:jc w:val="center"/>
              <w:rPr>
                <w:rFonts w:hAnsi="宋体" w:cs="Courier New"/>
                <w:sz w:val="24"/>
              </w:rPr>
            </w:pPr>
            <w:r>
              <w:rPr>
                <w:rFonts w:hint="eastAsia" w:hAnsi="宋体" w:cs="Courier New"/>
                <w:sz w:val="24"/>
              </w:rPr>
              <w:t>响应/偏离情况</w:t>
            </w:r>
          </w:p>
        </w:tc>
        <w:tc>
          <w:tcPr>
            <w:tcW w:w="1276" w:type="dxa"/>
            <w:tcBorders>
              <w:top w:val="single" w:color="auto" w:sz="12" w:space="0"/>
            </w:tcBorders>
            <w:vAlign w:val="center"/>
          </w:tcPr>
          <w:p>
            <w:pPr>
              <w:pStyle w:val="12"/>
              <w:spacing w:line="360" w:lineRule="auto"/>
              <w:jc w:val="center"/>
              <w:rPr>
                <w:rFonts w:hAnsi="宋体" w:cs="Courier New"/>
                <w:sz w:val="24"/>
              </w:rPr>
            </w:pPr>
            <w:r>
              <w:rPr>
                <w:rFonts w:hint="eastAsia" w:hAnsi="宋体" w:cs="Courier New"/>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2"/>
              <w:spacing w:line="360" w:lineRule="auto"/>
              <w:ind w:left="840"/>
              <w:jc w:val="center"/>
              <w:rPr>
                <w:rFonts w:hAnsi="宋体" w:cs="Courier New"/>
                <w:sz w:val="24"/>
              </w:rPr>
            </w:pPr>
          </w:p>
        </w:tc>
        <w:tc>
          <w:tcPr>
            <w:tcW w:w="1418" w:type="dxa"/>
            <w:vAlign w:val="center"/>
          </w:tcPr>
          <w:p>
            <w:pPr>
              <w:pStyle w:val="12"/>
              <w:spacing w:line="360" w:lineRule="auto"/>
              <w:ind w:left="840"/>
              <w:jc w:val="center"/>
              <w:rPr>
                <w:rFonts w:hAnsi="宋体" w:cs="Courier New"/>
                <w:sz w:val="24"/>
              </w:rPr>
            </w:pPr>
          </w:p>
        </w:tc>
        <w:tc>
          <w:tcPr>
            <w:tcW w:w="1383" w:type="dxa"/>
            <w:vAlign w:val="center"/>
          </w:tcPr>
          <w:p>
            <w:pPr>
              <w:pStyle w:val="12"/>
              <w:spacing w:line="360" w:lineRule="auto"/>
              <w:ind w:left="840"/>
              <w:jc w:val="center"/>
              <w:rPr>
                <w:rFonts w:hAnsi="宋体" w:cs="Courier New"/>
                <w:sz w:val="24"/>
              </w:rPr>
            </w:pPr>
          </w:p>
        </w:tc>
        <w:tc>
          <w:tcPr>
            <w:tcW w:w="1311" w:type="dxa"/>
            <w:vAlign w:val="center"/>
          </w:tcPr>
          <w:p>
            <w:pPr>
              <w:pStyle w:val="12"/>
              <w:spacing w:line="360" w:lineRule="auto"/>
              <w:ind w:left="840"/>
              <w:jc w:val="center"/>
              <w:rPr>
                <w:rFonts w:hAnsi="宋体" w:cs="Courier New"/>
                <w:sz w:val="24"/>
              </w:rPr>
            </w:pPr>
          </w:p>
        </w:tc>
        <w:tc>
          <w:tcPr>
            <w:tcW w:w="1417" w:type="dxa"/>
            <w:vAlign w:val="center"/>
          </w:tcPr>
          <w:p>
            <w:pPr>
              <w:pStyle w:val="12"/>
              <w:spacing w:line="360" w:lineRule="auto"/>
              <w:ind w:left="840"/>
              <w:jc w:val="center"/>
              <w:rPr>
                <w:rFonts w:hAnsi="宋体" w:cs="Courier New"/>
                <w:sz w:val="24"/>
              </w:rPr>
            </w:pPr>
          </w:p>
        </w:tc>
        <w:tc>
          <w:tcPr>
            <w:tcW w:w="1276" w:type="dxa"/>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2" w:type="dxa"/>
            <w:tcBorders>
              <w:bottom w:val="single" w:color="auto" w:sz="12" w:space="0"/>
            </w:tcBorders>
            <w:vAlign w:val="center"/>
          </w:tcPr>
          <w:p>
            <w:pPr>
              <w:pStyle w:val="12"/>
              <w:spacing w:line="360" w:lineRule="auto"/>
              <w:ind w:left="840"/>
              <w:jc w:val="center"/>
              <w:rPr>
                <w:rFonts w:hAnsi="宋体" w:cs="Courier New"/>
                <w:sz w:val="24"/>
              </w:rPr>
            </w:pPr>
            <w:r>
              <w:rPr>
                <w:rFonts w:hint="eastAsia" w:hAnsi="宋体" w:cs="Courier New"/>
                <w:sz w:val="24"/>
              </w:rPr>
              <w:t xml:space="preserve"> </w:t>
            </w:r>
          </w:p>
        </w:tc>
        <w:tc>
          <w:tcPr>
            <w:tcW w:w="1418" w:type="dxa"/>
            <w:tcBorders>
              <w:bottom w:val="single" w:color="auto" w:sz="12" w:space="0"/>
            </w:tcBorders>
            <w:vAlign w:val="center"/>
          </w:tcPr>
          <w:p>
            <w:pPr>
              <w:pStyle w:val="12"/>
              <w:spacing w:line="360" w:lineRule="auto"/>
              <w:ind w:left="840"/>
              <w:jc w:val="center"/>
              <w:rPr>
                <w:rFonts w:hAnsi="宋体" w:cs="Courier New"/>
                <w:sz w:val="24"/>
              </w:rPr>
            </w:pPr>
          </w:p>
        </w:tc>
        <w:tc>
          <w:tcPr>
            <w:tcW w:w="1383" w:type="dxa"/>
            <w:tcBorders>
              <w:bottom w:val="single" w:color="auto" w:sz="12" w:space="0"/>
            </w:tcBorders>
            <w:vAlign w:val="center"/>
          </w:tcPr>
          <w:p>
            <w:pPr>
              <w:pStyle w:val="12"/>
              <w:spacing w:line="360" w:lineRule="auto"/>
              <w:ind w:left="840"/>
              <w:jc w:val="center"/>
              <w:rPr>
                <w:rFonts w:hAnsi="宋体" w:cs="Courier New"/>
                <w:sz w:val="24"/>
              </w:rPr>
            </w:pPr>
          </w:p>
        </w:tc>
        <w:tc>
          <w:tcPr>
            <w:tcW w:w="1311" w:type="dxa"/>
            <w:tcBorders>
              <w:bottom w:val="single" w:color="auto" w:sz="12" w:space="0"/>
            </w:tcBorders>
            <w:vAlign w:val="center"/>
          </w:tcPr>
          <w:p>
            <w:pPr>
              <w:pStyle w:val="12"/>
              <w:spacing w:line="360" w:lineRule="auto"/>
              <w:ind w:left="840"/>
              <w:jc w:val="center"/>
              <w:rPr>
                <w:rFonts w:hAnsi="宋体" w:cs="Courier New"/>
                <w:sz w:val="24"/>
              </w:rPr>
            </w:pPr>
          </w:p>
        </w:tc>
        <w:tc>
          <w:tcPr>
            <w:tcW w:w="1417" w:type="dxa"/>
            <w:tcBorders>
              <w:bottom w:val="single" w:color="auto" w:sz="12" w:space="0"/>
            </w:tcBorders>
            <w:vAlign w:val="center"/>
          </w:tcPr>
          <w:p>
            <w:pPr>
              <w:pStyle w:val="12"/>
              <w:spacing w:line="360" w:lineRule="auto"/>
              <w:ind w:left="840"/>
              <w:jc w:val="center"/>
              <w:rPr>
                <w:rFonts w:hAnsi="宋体" w:cs="Courier New"/>
                <w:sz w:val="24"/>
              </w:rPr>
            </w:pPr>
          </w:p>
        </w:tc>
        <w:tc>
          <w:tcPr>
            <w:tcW w:w="1276" w:type="dxa"/>
            <w:tcBorders>
              <w:bottom w:val="single" w:color="auto" w:sz="12" w:space="0"/>
            </w:tcBorders>
            <w:vAlign w:val="center"/>
          </w:tcPr>
          <w:p>
            <w:pPr>
              <w:pStyle w:val="12"/>
              <w:spacing w:line="360" w:lineRule="auto"/>
              <w:ind w:left="840"/>
              <w:jc w:val="center"/>
              <w:rPr>
                <w:rFonts w:hAnsi="宋体" w:cs="Courier New"/>
                <w:sz w:val="24"/>
              </w:rPr>
            </w:pPr>
          </w:p>
        </w:tc>
      </w:tr>
    </w:tbl>
    <w:p>
      <w:pPr>
        <w:pStyle w:val="12"/>
        <w:spacing w:line="360" w:lineRule="auto"/>
        <w:ind w:left="315" w:leftChars="150" w:firstLine="480" w:firstLineChars="200"/>
        <w:rPr>
          <w:rFonts w:hAnsi="宋体"/>
          <w:sz w:val="24"/>
        </w:rPr>
      </w:pPr>
    </w:p>
    <w:p>
      <w:pPr>
        <w:pStyle w:val="12"/>
        <w:spacing w:line="360" w:lineRule="auto"/>
        <w:ind w:left="315" w:leftChars="150" w:firstLine="480" w:firstLineChars="200"/>
        <w:rPr>
          <w:rFonts w:hAnsi="宋体"/>
          <w:sz w:val="24"/>
        </w:rPr>
      </w:pPr>
      <w:r>
        <w:rPr>
          <w:rFonts w:hint="eastAsia" w:hAnsi="宋体"/>
          <w:sz w:val="24"/>
        </w:rPr>
        <w:t>注：</w:t>
      </w:r>
      <w:r>
        <w:rPr>
          <w:rFonts w:hAnsi="宋体"/>
          <w:sz w:val="24"/>
        </w:rPr>
        <w:t>投标人的技术偏差必须如实填写，并应对</w:t>
      </w:r>
      <w:r>
        <w:rPr>
          <w:rFonts w:hint="eastAsia" w:hAnsi="宋体"/>
          <w:sz w:val="24"/>
        </w:rPr>
        <w:t>“响应/偏离情况”</w:t>
      </w:r>
      <w:r>
        <w:rPr>
          <w:rFonts w:hAnsi="宋体"/>
          <w:sz w:val="24"/>
        </w:rPr>
        <w:t>做出必要说明。投标人应对故意隐瞒技术偏差的行为承担责任。对招标文件有任何偏离应列明“正偏离”或“负偏离”</w:t>
      </w:r>
      <w:r>
        <w:rPr>
          <w:rFonts w:hint="eastAsia" w:hAnsi="宋体"/>
          <w:sz w:val="24"/>
        </w:rPr>
        <w:t>，如</w:t>
      </w:r>
      <w:r>
        <w:rPr>
          <w:rFonts w:hAnsi="宋体"/>
          <w:sz w:val="24"/>
        </w:rPr>
        <w:t>对招标文件无偏离应标明“无偏离”。</w:t>
      </w:r>
    </w:p>
    <w:p>
      <w:pPr>
        <w:pStyle w:val="12"/>
        <w:tabs>
          <w:tab w:val="left" w:pos="5580"/>
        </w:tabs>
        <w:spacing w:before="120" w:line="360" w:lineRule="auto"/>
        <w:ind w:left="840"/>
        <w:rPr>
          <w:rFonts w:hAnsi="宋体"/>
          <w:sz w:val="24"/>
        </w:rPr>
      </w:pPr>
    </w:p>
    <w:p>
      <w:pPr>
        <w:pStyle w:val="12"/>
        <w:tabs>
          <w:tab w:val="left" w:pos="5580"/>
        </w:tabs>
        <w:spacing w:before="120" w:line="480" w:lineRule="auto"/>
        <w:ind w:left="840"/>
        <w:rPr>
          <w:rFonts w:hAnsi="宋体"/>
          <w:sz w:val="24"/>
        </w:rPr>
      </w:pPr>
      <w:r>
        <w:rPr>
          <w:rFonts w:hint="eastAsia" w:hAnsi="宋体"/>
          <w:sz w:val="24"/>
        </w:rPr>
        <w:t>投标人名称（盖章）：</w:t>
      </w:r>
    </w:p>
    <w:p>
      <w:pPr>
        <w:pStyle w:val="12"/>
        <w:tabs>
          <w:tab w:val="left" w:pos="5580"/>
        </w:tabs>
        <w:spacing w:before="120" w:line="480" w:lineRule="auto"/>
        <w:ind w:left="840"/>
        <w:rPr>
          <w:rFonts w:hAnsi="宋体"/>
          <w:sz w:val="24"/>
          <w:u w:val="single"/>
        </w:rPr>
      </w:pPr>
      <w:r>
        <w:rPr>
          <w:rFonts w:hint="eastAsia" w:hAnsi="宋体"/>
          <w:sz w:val="24"/>
        </w:rPr>
        <w:t>授权代表（签字）：</w:t>
      </w:r>
    </w:p>
    <w:p>
      <w:pPr>
        <w:pStyle w:val="12"/>
        <w:tabs>
          <w:tab w:val="left" w:pos="5580"/>
        </w:tabs>
        <w:spacing w:before="120" w:line="480" w:lineRule="auto"/>
        <w:ind w:left="840"/>
        <w:rPr>
          <w:rFonts w:hAnsi="宋体"/>
          <w:sz w:val="18"/>
          <w:szCs w:val="18"/>
        </w:rPr>
      </w:pPr>
      <w:r>
        <w:rPr>
          <w:rFonts w:hint="eastAsia" w:hAnsi="宋体"/>
          <w:sz w:val="24"/>
        </w:rPr>
        <w:t>注：此表格经授权代表签字方有效。</w:t>
      </w:r>
    </w:p>
    <w:p>
      <w:pPr>
        <w:pStyle w:val="6"/>
        <w:tabs>
          <w:tab w:val="left" w:pos="900"/>
        </w:tabs>
        <w:spacing w:line="360" w:lineRule="auto"/>
        <w:jc w:val="center"/>
        <w:rPr>
          <w:rFonts w:hint="default"/>
          <w:sz w:val="24"/>
        </w:rPr>
      </w:pPr>
      <w:bookmarkStart w:id="547" w:name="_Toc310195767"/>
      <w:bookmarkStart w:id="548" w:name="_Toc236642994"/>
      <w:r>
        <w:rPr>
          <w:sz w:val="24"/>
        </w:rPr>
        <w:br w:type="page"/>
      </w:r>
      <w:bookmarkStart w:id="549" w:name="_Toc523911438"/>
      <w:bookmarkStart w:id="550" w:name="_Toc40111038"/>
      <w:bookmarkStart w:id="551" w:name="_Toc5895221"/>
      <w:bookmarkStart w:id="552" w:name="_Toc4210"/>
      <w:r>
        <w:rPr>
          <w:sz w:val="24"/>
        </w:rPr>
        <w:t>5</w:t>
      </w:r>
      <w:r>
        <w:rPr>
          <w:sz w:val="24"/>
          <w:lang w:val="en-US"/>
        </w:rPr>
        <w:t xml:space="preserve"> </w:t>
      </w:r>
      <w:r>
        <w:rPr>
          <w:sz w:val="24"/>
        </w:rPr>
        <w:t>商务条款偏离表</w:t>
      </w:r>
      <w:bookmarkEnd w:id="547"/>
      <w:bookmarkEnd w:id="549"/>
      <w:bookmarkEnd w:id="550"/>
      <w:bookmarkEnd w:id="551"/>
      <w:bookmarkEnd w:id="552"/>
    </w:p>
    <w:p>
      <w:pPr>
        <w:pStyle w:val="12"/>
        <w:spacing w:line="360" w:lineRule="auto"/>
        <w:ind w:left="840"/>
        <w:rPr>
          <w:rFonts w:hAnsi="宋体"/>
          <w:sz w:val="24"/>
        </w:rPr>
      </w:pPr>
    </w:p>
    <w:p>
      <w:pPr>
        <w:pStyle w:val="12"/>
        <w:spacing w:line="360" w:lineRule="auto"/>
        <w:ind w:left="840" w:firstLine="120" w:firstLineChars="50"/>
        <w:rPr>
          <w:rFonts w:hAnsi="宋体"/>
          <w:sz w:val="24"/>
        </w:rPr>
      </w:pPr>
      <w:r>
        <w:rPr>
          <w:rFonts w:hint="eastAsia" w:hAnsi="宋体"/>
          <w:sz w:val="24"/>
        </w:rPr>
        <w:t xml:space="preserve">项目名称:____________           项目代理编号:_____________ </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971"/>
        <w:gridCol w:w="2971"/>
        <w:gridCol w:w="1301"/>
        <w:gridCol w:w="1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tcBorders>
              <w:top w:val="single" w:color="auto" w:sz="12" w:space="0"/>
            </w:tcBorders>
            <w:vAlign w:val="center"/>
          </w:tcPr>
          <w:p>
            <w:pPr>
              <w:pStyle w:val="27"/>
              <w:jc w:val="center"/>
              <w:rPr>
                <w:sz w:val="24"/>
              </w:rPr>
            </w:pPr>
            <w:r>
              <w:rPr>
                <w:rFonts w:hint="eastAsia"/>
                <w:sz w:val="24"/>
              </w:rPr>
              <w:t>序号</w:t>
            </w:r>
          </w:p>
        </w:tc>
        <w:tc>
          <w:tcPr>
            <w:tcW w:w="1599" w:type="pct"/>
            <w:tcBorders>
              <w:top w:val="single" w:color="auto" w:sz="12" w:space="0"/>
            </w:tcBorders>
            <w:vAlign w:val="center"/>
          </w:tcPr>
          <w:p>
            <w:pPr>
              <w:pStyle w:val="27"/>
              <w:jc w:val="center"/>
              <w:rPr>
                <w:sz w:val="24"/>
              </w:rPr>
            </w:pPr>
            <w:r>
              <w:rPr>
                <w:rFonts w:hint="eastAsia"/>
                <w:sz w:val="24"/>
              </w:rPr>
              <w:t>招标文件商务条款</w:t>
            </w:r>
          </w:p>
        </w:tc>
        <w:tc>
          <w:tcPr>
            <w:tcW w:w="1599" w:type="pct"/>
            <w:tcBorders>
              <w:top w:val="single" w:color="auto" w:sz="12" w:space="0"/>
            </w:tcBorders>
            <w:vAlign w:val="center"/>
          </w:tcPr>
          <w:p>
            <w:pPr>
              <w:pStyle w:val="27"/>
              <w:jc w:val="center"/>
              <w:rPr>
                <w:sz w:val="24"/>
              </w:rPr>
            </w:pPr>
            <w:r>
              <w:rPr>
                <w:rFonts w:hint="eastAsia"/>
                <w:sz w:val="24"/>
              </w:rPr>
              <w:t>投标文件商务条款</w:t>
            </w:r>
          </w:p>
        </w:tc>
        <w:tc>
          <w:tcPr>
            <w:tcW w:w="700" w:type="pct"/>
            <w:tcBorders>
              <w:top w:val="single" w:color="auto" w:sz="12" w:space="0"/>
            </w:tcBorders>
            <w:vAlign w:val="center"/>
          </w:tcPr>
          <w:p>
            <w:pPr>
              <w:pStyle w:val="27"/>
              <w:jc w:val="center"/>
              <w:rPr>
                <w:sz w:val="24"/>
              </w:rPr>
            </w:pPr>
            <w:r>
              <w:rPr>
                <w:rFonts w:hint="eastAsia" w:hAnsi="宋体" w:cs="Courier New"/>
                <w:sz w:val="24"/>
              </w:rPr>
              <w:t>响应/偏离情况</w:t>
            </w:r>
          </w:p>
        </w:tc>
        <w:tc>
          <w:tcPr>
            <w:tcW w:w="599" w:type="pct"/>
            <w:tcBorders>
              <w:top w:val="single" w:color="auto" w:sz="12" w:space="0"/>
            </w:tcBorders>
            <w:vAlign w:val="center"/>
          </w:tcPr>
          <w:p>
            <w:pPr>
              <w:pStyle w:val="27"/>
              <w:jc w:val="center"/>
              <w:rPr>
                <w:sz w:val="24"/>
              </w:rPr>
            </w:pPr>
            <w:r>
              <w:rPr>
                <w:rFonts w:hint="eastAsia"/>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1599" w:type="pct"/>
            <w:vAlign w:val="center"/>
          </w:tcPr>
          <w:p>
            <w:pPr>
              <w:pStyle w:val="12"/>
              <w:spacing w:line="360" w:lineRule="auto"/>
              <w:ind w:left="840"/>
              <w:jc w:val="center"/>
              <w:rPr>
                <w:rFonts w:hAnsi="宋体" w:cs="Courier New"/>
                <w:sz w:val="24"/>
              </w:rPr>
            </w:pPr>
          </w:p>
        </w:tc>
        <w:tc>
          <w:tcPr>
            <w:tcW w:w="700" w:type="pct"/>
            <w:vAlign w:val="center"/>
          </w:tcPr>
          <w:p>
            <w:pPr>
              <w:pStyle w:val="12"/>
              <w:spacing w:line="360" w:lineRule="auto"/>
              <w:ind w:left="840"/>
              <w:jc w:val="center"/>
              <w:rPr>
                <w:rFonts w:hAnsi="宋体" w:cs="Courier New"/>
                <w:sz w:val="24"/>
              </w:rPr>
            </w:pPr>
          </w:p>
        </w:tc>
        <w:tc>
          <w:tcPr>
            <w:tcW w:w="599" w:type="pct"/>
            <w:vAlign w:val="center"/>
          </w:tcPr>
          <w:p>
            <w:pPr>
              <w:pStyle w:val="12"/>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tcBorders>
              <w:bottom w:val="single" w:color="auto" w:sz="12" w:space="0"/>
            </w:tcBorders>
            <w:vAlign w:val="center"/>
          </w:tcPr>
          <w:p>
            <w:pPr>
              <w:pStyle w:val="12"/>
              <w:spacing w:line="360" w:lineRule="auto"/>
              <w:ind w:left="840"/>
              <w:jc w:val="center"/>
              <w:rPr>
                <w:rFonts w:hAnsi="宋体" w:cs="Courier New"/>
                <w:sz w:val="24"/>
              </w:rPr>
            </w:pPr>
          </w:p>
        </w:tc>
        <w:tc>
          <w:tcPr>
            <w:tcW w:w="1599" w:type="pct"/>
            <w:tcBorders>
              <w:bottom w:val="single" w:color="auto" w:sz="12" w:space="0"/>
            </w:tcBorders>
            <w:vAlign w:val="center"/>
          </w:tcPr>
          <w:p>
            <w:pPr>
              <w:pStyle w:val="12"/>
              <w:spacing w:line="360" w:lineRule="auto"/>
              <w:ind w:left="840"/>
              <w:jc w:val="center"/>
              <w:rPr>
                <w:rFonts w:hAnsi="宋体" w:cs="Courier New"/>
                <w:sz w:val="24"/>
              </w:rPr>
            </w:pPr>
          </w:p>
        </w:tc>
        <w:tc>
          <w:tcPr>
            <w:tcW w:w="1599" w:type="pct"/>
            <w:tcBorders>
              <w:bottom w:val="single" w:color="auto" w:sz="12" w:space="0"/>
            </w:tcBorders>
            <w:vAlign w:val="center"/>
          </w:tcPr>
          <w:p>
            <w:pPr>
              <w:pStyle w:val="12"/>
              <w:spacing w:line="360" w:lineRule="auto"/>
              <w:ind w:left="840"/>
              <w:jc w:val="center"/>
              <w:rPr>
                <w:rFonts w:hAnsi="宋体" w:cs="Courier New"/>
                <w:sz w:val="24"/>
              </w:rPr>
            </w:pPr>
          </w:p>
        </w:tc>
        <w:tc>
          <w:tcPr>
            <w:tcW w:w="700" w:type="pct"/>
            <w:tcBorders>
              <w:bottom w:val="single" w:color="auto" w:sz="12" w:space="0"/>
            </w:tcBorders>
            <w:vAlign w:val="center"/>
          </w:tcPr>
          <w:p>
            <w:pPr>
              <w:pStyle w:val="12"/>
              <w:spacing w:line="360" w:lineRule="auto"/>
              <w:ind w:left="840"/>
              <w:jc w:val="center"/>
              <w:rPr>
                <w:rFonts w:hAnsi="宋体" w:cs="Courier New"/>
                <w:sz w:val="24"/>
              </w:rPr>
            </w:pPr>
          </w:p>
        </w:tc>
        <w:tc>
          <w:tcPr>
            <w:tcW w:w="599" w:type="pct"/>
            <w:tcBorders>
              <w:bottom w:val="single" w:color="auto" w:sz="12" w:space="0"/>
            </w:tcBorders>
            <w:vAlign w:val="center"/>
          </w:tcPr>
          <w:p>
            <w:pPr>
              <w:pStyle w:val="12"/>
              <w:spacing w:line="360" w:lineRule="auto"/>
              <w:ind w:left="840"/>
              <w:jc w:val="center"/>
              <w:rPr>
                <w:rFonts w:hAnsi="宋体" w:cs="Courier New"/>
                <w:sz w:val="24"/>
              </w:rPr>
            </w:pPr>
          </w:p>
        </w:tc>
      </w:tr>
    </w:tbl>
    <w:p>
      <w:pPr>
        <w:pStyle w:val="12"/>
        <w:spacing w:line="360" w:lineRule="auto"/>
        <w:rPr>
          <w:rFonts w:hAnsi="宋体"/>
          <w:sz w:val="24"/>
        </w:rPr>
      </w:pPr>
    </w:p>
    <w:p>
      <w:pPr>
        <w:pStyle w:val="12"/>
        <w:spacing w:line="360" w:lineRule="auto"/>
        <w:rPr>
          <w:rFonts w:hAnsi="宋体"/>
          <w:sz w:val="24"/>
        </w:rPr>
      </w:pPr>
      <w:r>
        <w:rPr>
          <w:rFonts w:hAnsi="宋体"/>
          <w:sz w:val="24"/>
        </w:rPr>
        <w:t>注：投标人如果对包括</w:t>
      </w:r>
      <w:r>
        <w:rPr>
          <w:rFonts w:hint="eastAsia" w:hAnsi="宋体"/>
          <w:sz w:val="24"/>
        </w:rPr>
        <w:t>服务</w:t>
      </w:r>
      <w:r>
        <w:rPr>
          <w:rFonts w:hAnsi="宋体"/>
          <w:sz w:val="24"/>
        </w:rPr>
        <w:t>期、付款方式/条件、质保期及合同条款在内的商务条款的响应有任何偏离，请在本表中详细填写；如对商务条款没有偏离，请注明“无偏离”。</w:t>
      </w:r>
    </w:p>
    <w:p>
      <w:pPr>
        <w:pStyle w:val="12"/>
        <w:spacing w:line="360" w:lineRule="auto"/>
        <w:ind w:left="840"/>
        <w:rPr>
          <w:rFonts w:hAnsi="宋体"/>
          <w:sz w:val="24"/>
        </w:rPr>
      </w:pPr>
    </w:p>
    <w:p>
      <w:pPr>
        <w:pStyle w:val="12"/>
        <w:tabs>
          <w:tab w:val="left" w:pos="5580"/>
        </w:tabs>
        <w:spacing w:before="120" w:line="480" w:lineRule="auto"/>
        <w:ind w:left="840"/>
        <w:rPr>
          <w:rFonts w:hAnsi="宋体"/>
          <w:sz w:val="24"/>
        </w:rPr>
      </w:pPr>
      <w:r>
        <w:rPr>
          <w:rFonts w:hint="eastAsia" w:hAnsi="宋体"/>
          <w:sz w:val="24"/>
        </w:rPr>
        <w:t>投标人名称（盖章）：</w:t>
      </w:r>
    </w:p>
    <w:p>
      <w:pPr>
        <w:pStyle w:val="12"/>
        <w:tabs>
          <w:tab w:val="left" w:pos="5580"/>
        </w:tabs>
        <w:spacing w:before="120" w:line="480" w:lineRule="auto"/>
        <w:ind w:left="840"/>
        <w:rPr>
          <w:rFonts w:hAnsi="宋体"/>
          <w:sz w:val="24"/>
          <w:u w:val="single"/>
        </w:rPr>
      </w:pPr>
      <w:r>
        <w:rPr>
          <w:rFonts w:hint="eastAsia" w:hAnsi="宋体"/>
          <w:sz w:val="24"/>
        </w:rPr>
        <w:t>授权代表（签字）：</w:t>
      </w:r>
    </w:p>
    <w:p>
      <w:pPr>
        <w:pStyle w:val="12"/>
        <w:tabs>
          <w:tab w:val="left" w:pos="5580"/>
        </w:tabs>
        <w:spacing w:before="120" w:line="480" w:lineRule="auto"/>
        <w:ind w:left="840"/>
        <w:rPr>
          <w:rFonts w:hAnsi="宋体"/>
          <w:sz w:val="24"/>
        </w:rPr>
      </w:pPr>
      <w:r>
        <w:rPr>
          <w:rFonts w:hint="eastAsia" w:hAnsi="宋体"/>
          <w:sz w:val="24"/>
        </w:rPr>
        <w:t>注：此表格经授权代表签字方有效。</w:t>
      </w:r>
      <w:bookmarkEnd w:id="548"/>
      <w:bookmarkStart w:id="553" w:name="_Toc236642997"/>
    </w:p>
    <w:p>
      <w:pPr>
        <w:pStyle w:val="6"/>
        <w:tabs>
          <w:tab w:val="left" w:pos="900"/>
        </w:tabs>
        <w:spacing w:line="360" w:lineRule="auto"/>
        <w:jc w:val="center"/>
        <w:rPr>
          <w:rFonts w:hint="default"/>
          <w:sz w:val="28"/>
          <w:szCs w:val="28"/>
        </w:rPr>
      </w:pPr>
      <w:bookmarkStart w:id="554" w:name="_Toc5895222"/>
      <w:bookmarkStart w:id="555" w:name="_Toc40111039"/>
      <w:bookmarkStart w:id="556" w:name="_Toc523911439"/>
      <w:bookmarkStart w:id="557" w:name="_Toc27093"/>
      <w:bookmarkStart w:id="558" w:name="_Toc310195769"/>
      <w:r>
        <w:rPr>
          <w:sz w:val="24"/>
        </w:rPr>
        <w:t>6 业绩案例一览表</w:t>
      </w:r>
      <w:bookmarkEnd w:id="554"/>
      <w:bookmarkEnd w:id="555"/>
      <w:bookmarkEnd w:id="556"/>
      <w:bookmarkEnd w:id="557"/>
      <w:bookmarkEnd w:id="558"/>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367"/>
        <w:gridCol w:w="1367"/>
        <w:gridCol w:w="1367"/>
        <w:gridCol w:w="1646"/>
        <w:gridCol w:w="192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35" w:type="pct"/>
            <w:vAlign w:val="center"/>
          </w:tcPr>
          <w:p>
            <w:pPr>
              <w:spacing w:line="360" w:lineRule="auto"/>
              <w:rPr>
                <w:rFonts w:ascii="宋体" w:hAnsi="宋体"/>
                <w:b/>
                <w:sz w:val="24"/>
              </w:rPr>
            </w:pPr>
            <w:r>
              <w:rPr>
                <w:rFonts w:hint="eastAsia" w:ascii="宋体" w:hAnsi="宋体"/>
                <w:b/>
                <w:sz w:val="24"/>
              </w:rPr>
              <w:t>序号</w:t>
            </w:r>
          </w:p>
        </w:tc>
        <w:tc>
          <w:tcPr>
            <w:tcW w:w="736" w:type="pct"/>
            <w:vAlign w:val="center"/>
          </w:tcPr>
          <w:p>
            <w:pPr>
              <w:spacing w:line="360" w:lineRule="auto"/>
              <w:jc w:val="center"/>
              <w:rPr>
                <w:rFonts w:ascii="宋体" w:hAnsi="宋体"/>
                <w:b/>
                <w:sz w:val="24"/>
              </w:rPr>
            </w:pPr>
            <w:r>
              <w:rPr>
                <w:rFonts w:hint="eastAsia" w:ascii="宋体" w:hAnsi="宋体"/>
                <w:b/>
                <w:sz w:val="24"/>
              </w:rPr>
              <w:t>项目名称</w:t>
            </w:r>
          </w:p>
        </w:tc>
        <w:tc>
          <w:tcPr>
            <w:tcW w:w="736" w:type="pct"/>
            <w:vAlign w:val="center"/>
          </w:tcPr>
          <w:p>
            <w:pPr>
              <w:spacing w:line="360" w:lineRule="auto"/>
              <w:rPr>
                <w:rFonts w:ascii="宋体" w:hAnsi="宋体"/>
                <w:b/>
                <w:sz w:val="24"/>
              </w:rPr>
            </w:pPr>
            <w:r>
              <w:rPr>
                <w:rFonts w:hint="eastAsia" w:ascii="宋体" w:hAnsi="宋体"/>
                <w:b/>
                <w:sz w:val="24"/>
              </w:rPr>
              <w:t>用户名称</w:t>
            </w:r>
          </w:p>
        </w:tc>
        <w:tc>
          <w:tcPr>
            <w:tcW w:w="736" w:type="pct"/>
            <w:vAlign w:val="center"/>
          </w:tcPr>
          <w:p>
            <w:pPr>
              <w:spacing w:line="360" w:lineRule="auto"/>
              <w:rPr>
                <w:rFonts w:ascii="宋体" w:hAnsi="宋体"/>
                <w:b/>
                <w:sz w:val="24"/>
              </w:rPr>
            </w:pPr>
            <w:r>
              <w:rPr>
                <w:rFonts w:hint="eastAsia" w:ascii="宋体" w:hAnsi="宋体"/>
                <w:b/>
                <w:sz w:val="24"/>
              </w:rPr>
              <w:t>合同金额</w:t>
            </w:r>
          </w:p>
        </w:tc>
        <w:tc>
          <w:tcPr>
            <w:tcW w:w="886" w:type="pct"/>
            <w:vAlign w:val="center"/>
          </w:tcPr>
          <w:p>
            <w:pPr>
              <w:spacing w:line="360" w:lineRule="auto"/>
              <w:rPr>
                <w:rFonts w:ascii="宋体" w:hAnsi="宋体"/>
                <w:b/>
                <w:sz w:val="24"/>
              </w:rPr>
            </w:pPr>
            <w:r>
              <w:rPr>
                <w:rFonts w:hint="eastAsia" w:ascii="宋体" w:hAnsi="宋体"/>
                <w:b/>
                <w:sz w:val="24"/>
              </w:rPr>
              <w:t>用户联系人</w:t>
            </w:r>
          </w:p>
        </w:tc>
        <w:tc>
          <w:tcPr>
            <w:tcW w:w="1036" w:type="pct"/>
            <w:vAlign w:val="center"/>
          </w:tcPr>
          <w:p>
            <w:pPr>
              <w:spacing w:line="360" w:lineRule="auto"/>
              <w:rPr>
                <w:rFonts w:ascii="宋体" w:hAnsi="宋体"/>
                <w:b/>
                <w:sz w:val="24"/>
              </w:rPr>
            </w:pPr>
            <w:r>
              <w:rPr>
                <w:rFonts w:hint="eastAsia" w:ascii="宋体" w:hAnsi="宋体"/>
                <w:b/>
                <w:sz w:val="24"/>
              </w:rPr>
              <w:t>用户联系电话</w:t>
            </w:r>
          </w:p>
        </w:tc>
        <w:tc>
          <w:tcPr>
            <w:tcW w:w="435" w:type="pct"/>
            <w:vAlign w:val="center"/>
          </w:tcPr>
          <w:p>
            <w:pPr>
              <w:spacing w:line="360" w:lineRule="auto"/>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bl>
    <w:p>
      <w:pPr>
        <w:tabs>
          <w:tab w:val="left" w:pos="5580"/>
        </w:tabs>
        <w:spacing w:before="360" w:line="360" w:lineRule="auto"/>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111F2C"/>
          <w:szCs w:val="21"/>
          <w:shd w:val="clear" w:color="auto" w:fill="FFFFFF"/>
        </w:rPr>
        <w:t>注：（所提供合同必须包括合同首页、金额所在页、签字盖章页，评委保留对上述资料原件审核的权力）。</w:t>
      </w:r>
    </w:p>
    <w:p>
      <w:pPr>
        <w:spacing w:line="360" w:lineRule="auto"/>
        <w:jc w:val="left"/>
        <w:rPr>
          <w:rFonts w:ascii="宋体" w:hAnsi="宋体"/>
          <w:b/>
          <w:sz w:val="24"/>
        </w:rPr>
      </w:pPr>
    </w:p>
    <w:p>
      <w:pPr>
        <w:tabs>
          <w:tab w:val="left" w:pos="5580"/>
        </w:tabs>
        <w:spacing w:before="360" w:line="360" w:lineRule="auto"/>
        <w:ind w:left="1214" w:leftChars="428" w:hanging="315" w:hangingChars="150"/>
        <w:rPr>
          <w:rFonts w:ascii="宋体" w:hAnsi="宋体"/>
        </w:rPr>
      </w:pPr>
    </w:p>
    <w:p>
      <w:pPr>
        <w:tabs>
          <w:tab w:val="left" w:pos="5580"/>
        </w:tabs>
        <w:spacing w:before="360" w:line="360" w:lineRule="auto"/>
        <w:ind w:left="1214" w:leftChars="428" w:hanging="315" w:hangingChars="150"/>
        <w:rPr>
          <w:rFonts w:ascii="宋体" w:hAnsi="宋体"/>
        </w:rPr>
      </w:pPr>
    </w:p>
    <w:p>
      <w:pPr>
        <w:tabs>
          <w:tab w:val="left" w:pos="5580"/>
        </w:tabs>
        <w:spacing w:before="360" w:line="360" w:lineRule="auto"/>
        <w:ind w:left="1214" w:leftChars="428" w:hanging="315" w:hangingChars="150"/>
        <w:rPr>
          <w:rFonts w:ascii="宋体" w:hAnsi="宋体"/>
        </w:rPr>
      </w:pPr>
    </w:p>
    <w:p>
      <w:pPr>
        <w:tabs>
          <w:tab w:val="left" w:pos="5580"/>
        </w:tabs>
        <w:spacing w:before="360" w:line="360" w:lineRule="auto"/>
        <w:ind w:left="1214" w:leftChars="428" w:hanging="315" w:hangingChars="150"/>
        <w:rPr>
          <w:rFonts w:ascii="宋体" w:hAnsi="宋体"/>
        </w:rPr>
      </w:pPr>
    </w:p>
    <w:p>
      <w:pPr>
        <w:widowControl/>
        <w:jc w:val="left"/>
        <w:rPr>
          <w:rFonts w:ascii="宋体" w:hAnsi="宋体"/>
        </w:rPr>
        <w:sectPr>
          <w:footerReference r:id="rId13" w:type="first"/>
          <w:footerReference r:id="rId12" w:type="even"/>
          <w:pgSz w:w="11905" w:h="16838"/>
          <w:pgMar w:top="1088" w:right="1417" w:bottom="1400" w:left="1417" w:header="567" w:footer="850" w:gutter="0"/>
          <w:cols w:space="0" w:num="1"/>
          <w:docGrid w:linePitch="312" w:charSpace="0"/>
        </w:sectPr>
      </w:pPr>
    </w:p>
    <w:p>
      <w:pPr>
        <w:pStyle w:val="6"/>
        <w:tabs>
          <w:tab w:val="left" w:pos="900"/>
        </w:tabs>
        <w:spacing w:line="360" w:lineRule="auto"/>
        <w:jc w:val="center"/>
        <w:rPr>
          <w:rFonts w:hint="default"/>
          <w:sz w:val="24"/>
        </w:rPr>
      </w:pPr>
      <w:bookmarkStart w:id="559" w:name="_Toc507514592"/>
      <w:bookmarkStart w:id="560" w:name="_Toc5895223"/>
      <w:bookmarkStart w:id="561" w:name="_Toc40111040"/>
      <w:bookmarkStart w:id="562" w:name="_Toc22294"/>
      <w:bookmarkStart w:id="563" w:name="_Toc523911440"/>
      <w:bookmarkStart w:id="564" w:name="_Toc499304712"/>
      <w:r>
        <w:rPr>
          <w:sz w:val="24"/>
        </w:rPr>
        <w:t>7 投标人基本情况表</w:t>
      </w:r>
      <w:bookmarkEnd w:id="559"/>
      <w:bookmarkEnd w:id="560"/>
      <w:bookmarkEnd w:id="561"/>
      <w:bookmarkEnd w:id="562"/>
      <w:bookmarkEnd w:id="563"/>
      <w:bookmarkEnd w:id="564"/>
    </w:p>
    <w:p>
      <w:pPr>
        <w:spacing w:line="360" w:lineRule="auto"/>
        <w:rPr>
          <w:rFonts w:ascii="宋体" w:hAnsi="宋体"/>
          <w:color w:val="000000"/>
          <w:sz w:val="24"/>
        </w:rPr>
      </w:pPr>
      <w:r>
        <w:rPr>
          <w:rFonts w:hint="eastAsia" w:ascii="宋体" w:hAnsi="宋体"/>
          <w:color w:val="000000"/>
          <w:sz w:val="24"/>
        </w:rPr>
        <w:t>投标人名称：（公章）                                                       填表日期：</w:t>
      </w:r>
    </w:p>
    <w:tbl>
      <w:tblPr>
        <w:tblStyle w:val="20"/>
        <w:tblW w:w="139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614"/>
        <w:gridCol w:w="520"/>
        <w:gridCol w:w="1134"/>
        <w:gridCol w:w="761"/>
        <w:gridCol w:w="90"/>
        <w:gridCol w:w="855"/>
        <w:gridCol w:w="210"/>
        <w:gridCol w:w="75"/>
        <w:gridCol w:w="702"/>
        <w:gridCol w:w="1276"/>
        <w:gridCol w:w="1276"/>
        <w:gridCol w:w="766"/>
        <w:gridCol w:w="84"/>
        <w:gridCol w:w="126"/>
        <w:gridCol w:w="976"/>
        <w:gridCol w:w="316"/>
        <w:gridCol w:w="419"/>
        <w:gridCol w:w="704"/>
        <w:gridCol w:w="1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单位名称</w:t>
            </w:r>
          </w:p>
        </w:tc>
        <w:tc>
          <w:tcPr>
            <w:tcW w:w="41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主管部门</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企业负责人</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地址</w:t>
            </w:r>
          </w:p>
        </w:tc>
        <w:tc>
          <w:tcPr>
            <w:tcW w:w="41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传真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经济类型</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授权代表</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一、单位简历及机构</w:t>
            </w:r>
          </w:p>
        </w:tc>
        <w:tc>
          <w:tcPr>
            <w:tcW w:w="496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单位优势及特长</w:t>
            </w:r>
          </w:p>
        </w:tc>
        <w:tc>
          <w:tcPr>
            <w:tcW w:w="6452"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二、单位概况</w:t>
            </w: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职工总数</w:t>
            </w:r>
          </w:p>
        </w:tc>
        <w:tc>
          <w:tcPr>
            <w:tcW w:w="1654" w:type="dxa"/>
            <w:gridSpan w:val="2"/>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p>
            <w:pPr>
              <w:spacing w:line="360" w:lineRule="auto"/>
              <w:ind w:left="1080" w:hanging="1080" w:hangingChars="450"/>
              <w:rPr>
                <w:rFonts w:ascii="宋体" w:hAnsi="宋体"/>
                <w:color w:val="000000"/>
                <w:sz w:val="24"/>
              </w:rPr>
            </w:pPr>
            <w:r>
              <w:rPr>
                <w:rFonts w:hint="eastAsia" w:ascii="宋体" w:hAnsi="宋体"/>
                <w:color w:val="000000"/>
                <w:sz w:val="24"/>
              </w:rPr>
              <w:t>人</w:t>
            </w:r>
          </w:p>
        </w:tc>
        <w:tc>
          <w:tcPr>
            <w:tcW w:w="2693" w:type="dxa"/>
            <w:gridSpan w:val="6"/>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生产工人         人</w:t>
            </w:r>
          </w:p>
          <w:p>
            <w:pPr>
              <w:spacing w:line="360" w:lineRule="auto"/>
              <w:rPr>
                <w:rFonts w:ascii="宋体" w:hAnsi="宋体"/>
                <w:color w:val="000000"/>
                <w:sz w:val="24"/>
              </w:rPr>
            </w:pPr>
            <w:r>
              <w:rPr>
                <w:rFonts w:hint="eastAsia" w:ascii="宋体" w:hAnsi="宋体"/>
                <w:color w:val="000000"/>
                <w:sz w:val="24"/>
              </w:rPr>
              <w:t>工程技术人员     人</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上一年主要经济指标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指标名称</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计算单位</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实际完成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工业总产值</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实现利润</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流动资金</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万元</w:t>
            </w:r>
          </w:p>
        </w:tc>
        <w:tc>
          <w:tcPr>
            <w:tcW w:w="761"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资金来源</w:t>
            </w: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自有资金</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主要产品</w:t>
            </w: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银行贷款</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固定资产</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原值万元</w:t>
            </w:r>
          </w:p>
          <w:p>
            <w:pPr>
              <w:spacing w:line="360" w:lineRule="auto"/>
              <w:rPr>
                <w:rFonts w:ascii="宋体" w:hAnsi="宋体"/>
                <w:color w:val="000000"/>
                <w:sz w:val="24"/>
              </w:rPr>
            </w:pPr>
            <w:r>
              <w:rPr>
                <w:rFonts w:hint="eastAsia" w:ascii="宋体" w:hAnsi="宋体"/>
                <w:color w:val="000000"/>
                <w:sz w:val="24"/>
              </w:rPr>
              <w:t>净值万元</w:t>
            </w:r>
          </w:p>
        </w:tc>
        <w:tc>
          <w:tcPr>
            <w:tcW w:w="761"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资金性质</w:t>
            </w: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生产性</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非生产性</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占地面积</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房屋建筑面积平方米</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厂房建筑面积平方米</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三、主要产品情况</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产品名称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型号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上年产量</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上年产值</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产品技术先进水平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优质品率</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一等品率</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曾获何级何种奖励</w:t>
            </w: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主要用户名称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bl>
    <w:p>
      <w:pPr>
        <w:spacing w:line="360" w:lineRule="auto"/>
        <w:rPr>
          <w:rFonts w:ascii="宋体" w:hAnsi="宋体"/>
          <w:color w:val="000000"/>
          <w:sz w:val="24"/>
        </w:rPr>
        <w:sectPr>
          <w:pgSz w:w="16838" w:h="11905" w:orient="landscape"/>
          <w:pgMar w:top="1417" w:right="1088" w:bottom="1417" w:left="1400" w:header="567" w:footer="850" w:gutter="0"/>
          <w:cols w:space="0" w:num="1"/>
          <w:docGrid w:linePitch="312" w:charSpace="0"/>
        </w:sectPr>
      </w:pPr>
    </w:p>
    <w:p>
      <w:pPr>
        <w:pStyle w:val="6"/>
        <w:tabs>
          <w:tab w:val="left" w:pos="900"/>
        </w:tabs>
        <w:spacing w:line="360" w:lineRule="auto"/>
        <w:jc w:val="center"/>
        <w:rPr>
          <w:rFonts w:hint="default"/>
          <w:sz w:val="24"/>
        </w:rPr>
      </w:pPr>
      <w:bookmarkStart w:id="565" w:name="_Toc523911442"/>
      <w:bookmarkStart w:id="566" w:name="_Toc40111041"/>
      <w:bookmarkStart w:id="567" w:name="_Toc5895225"/>
      <w:bookmarkStart w:id="568" w:name="_Toc12549"/>
      <w:bookmarkStart w:id="569" w:name="_Toc310195770"/>
      <w:r>
        <w:rPr>
          <w:sz w:val="24"/>
        </w:rPr>
        <w:t xml:space="preserve">8 </w:t>
      </w:r>
      <w:bookmarkEnd w:id="565"/>
      <w:bookmarkEnd w:id="566"/>
      <w:bookmarkEnd w:id="567"/>
      <w:bookmarkStart w:id="570" w:name="_Toc31453"/>
      <w:r>
        <w:rPr>
          <w:sz w:val="24"/>
        </w:rPr>
        <w:t>技术方案</w:t>
      </w:r>
      <w:bookmarkEnd w:id="568"/>
    </w:p>
    <w:p>
      <w:pPr>
        <w:pStyle w:val="5"/>
        <w:jc w:val="center"/>
      </w:pPr>
      <w:r>
        <w:t>（</w:t>
      </w:r>
      <w:r>
        <w:rPr>
          <w:rFonts w:hint="eastAsia"/>
          <w:lang w:val="en-US"/>
        </w:rPr>
        <w:t>格式自拟</w:t>
      </w:r>
      <w:r>
        <w:t>）</w:t>
      </w:r>
      <w:bookmarkEnd w:id="569"/>
      <w:bookmarkEnd w:id="570"/>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widowControl/>
        <w:jc w:val="left"/>
      </w:pPr>
      <w:r>
        <w:br w:type="page"/>
      </w:r>
    </w:p>
    <w:p>
      <w:pPr>
        <w:pStyle w:val="6"/>
        <w:tabs>
          <w:tab w:val="left" w:pos="900"/>
        </w:tabs>
        <w:spacing w:line="360" w:lineRule="auto"/>
        <w:jc w:val="center"/>
        <w:rPr>
          <w:rFonts w:hint="default"/>
          <w:sz w:val="24"/>
        </w:rPr>
      </w:pPr>
      <w:bookmarkStart w:id="571" w:name="_Toc5895226"/>
      <w:bookmarkStart w:id="572" w:name="_Toc40111042"/>
      <w:bookmarkStart w:id="573" w:name="_Toc21592"/>
      <w:r>
        <w:rPr>
          <w:sz w:val="24"/>
        </w:rPr>
        <w:t>9 售后服务及培训计划</w:t>
      </w:r>
      <w:bookmarkEnd w:id="571"/>
      <w:bookmarkEnd w:id="572"/>
      <w:bookmarkEnd w:id="573"/>
    </w:p>
    <w:p>
      <w:pPr>
        <w:pStyle w:val="5"/>
        <w:jc w:val="center"/>
      </w:pPr>
      <w:r>
        <w:rPr>
          <w:rFonts w:hint="eastAsia"/>
        </w:rPr>
        <w:t>（</w:t>
      </w:r>
      <w:r>
        <w:rPr>
          <w:rFonts w:hint="eastAsia"/>
          <w:lang w:val="en-US"/>
        </w:rPr>
        <w:t>格式自拟</w:t>
      </w:r>
      <w:r>
        <w:rPr>
          <w:rFonts w:hint="eastAsia"/>
        </w:rPr>
        <w:t>）</w:t>
      </w:r>
      <w:r>
        <w:br w:type="page"/>
      </w:r>
    </w:p>
    <w:p>
      <w:pPr>
        <w:pStyle w:val="5"/>
        <w:spacing w:line="360" w:lineRule="auto"/>
        <w:ind w:firstLine="0"/>
        <w:jc w:val="center"/>
        <w:outlineLvl w:val="2"/>
        <w:rPr>
          <w:rFonts w:hAnsi="宋体"/>
        </w:rPr>
      </w:pPr>
      <w:bookmarkStart w:id="574" w:name="_Toc21613"/>
      <w:bookmarkStart w:id="575" w:name="_Toc40111043"/>
      <w:bookmarkStart w:id="576" w:name="_Toc310195772"/>
      <w:r>
        <w:rPr>
          <w:rFonts w:hint="eastAsia" w:hAnsi="宋体"/>
        </w:rPr>
        <w:t>10 提交投标保证金的证明材料</w:t>
      </w:r>
      <w:bookmarkEnd w:id="574"/>
      <w:bookmarkEnd w:id="575"/>
    </w:p>
    <w:p>
      <w:pPr>
        <w:pStyle w:val="5"/>
        <w:spacing w:line="360" w:lineRule="auto"/>
        <w:ind w:firstLine="0"/>
        <w:jc w:val="center"/>
        <w:rPr>
          <w:rFonts w:hAnsi="宋体"/>
        </w:rPr>
      </w:pPr>
      <w:r>
        <w:rPr>
          <w:rFonts w:hint="eastAsia" w:hAnsi="宋体"/>
        </w:rPr>
        <w:t>（须加盖本单位公章）</w:t>
      </w:r>
    </w:p>
    <w:p>
      <w:pPr>
        <w:widowControl/>
        <w:spacing w:line="360" w:lineRule="auto"/>
        <w:jc w:val="left"/>
        <w:rPr>
          <w:rFonts w:hAnsi="宋体"/>
        </w:rPr>
      </w:pPr>
      <w:r>
        <w:rPr>
          <w:rFonts w:hAnsi="宋体"/>
        </w:rPr>
        <w:br w:type="page"/>
      </w:r>
    </w:p>
    <w:p>
      <w:pPr>
        <w:pStyle w:val="6"/>
        <w:tabs>
          <w:tab w:val="left" w:pos="900"/>
        </w:tabs>
        <w:spacing w:line="360" w:lineRule="auto"/>
        <w:jc w:val="center"/>
        <w:rPr>
          <w:rFonts w:hint="default"/>
          <w:sz w:val="24"/>
        </w:rPr>
      </w:pPr>
      <w:bookmarkStart w:id="577" w:name="_Toc5895227"/>
      <w:bookmarkStart w:id="578" w:name="_Toc40111044"/>
      <w:bookmarkStart w:id="579" w:name="_Toc23987"/>
      <w:bookmarkStart w:id="580" w:name="_Toc523911444"/>
      <w:r>
        <w:rPr>
          <w:sz w:val="24"/>
        </w:rPr>
        <w:t>11 中标服务费承诺书</w:t>
      </w:r>
      <w:bookmarkEnd w:id="576"/>
      <w:bookmarkEnd w:id="577"/>
      <w:bookmarkEnd w:id="578"/>
      <w:bookmarkEnd w:id="579"/>
      <w:bookmarkEnd w:id="580"/>
    </w:p>
    <w:p>
      <w:pPr>
        <w:pStyle w:val="5"/>
        <w:spacing w:line="360" w:lineRule="auto"/>
        <w:rPr>
          <w:rFonts w:hAnsi="宋体"/>
        </w:rPr>
      </w:pPr>
    </w:p>
    <w:p>
      <w:pPr>
        <w:spacing w:line="360" w:lineRule="auto"/>
        <w:rPr>
          <w:rFonts w:ascii="宋体" w:hAnsi="宋体"/>
          <w:sz w:val="24"/>
          <w:u w:val="single"/>
        </w:rPr>
      </w:pPr>
      <w:r>
        <w:rPr>
          <w:rFonts w:hint="eastAsia" w:ascii="宋体" w:hAnsi="宋体"/>
          <w:sz w:val="24"/>
        </w:rPr>
        <w:t>致：华采招标集团有限公司</w:t>
      </w:r>
    </w:p>
    <w:p>
      <w:pPr>
        <w:widowControl/>
        <w:spacing w:line="360" w:lineRule="auto"/>
        <w:ind w:firstLine="480" w:firstLineChars="200"/>
        <w:jc w:val="left"/>
        <w:rPr>
          <w:rFonts w:ascii="宋体" w:hAnsi="宋体"/>
          <w:kern w:val="0"/>
          <w:sz w:val="24"/>
        </w:rPr>
      </w:pPr>
      <w:r>
        <w:rPr>
          <w:rFonts w:hint="eastAsia" w:ascii="宋体" w:hAnsi="宋体"/>
          <w:sz w:val="24"/>
        </w:rPr>
        <w:t>我们在贵公司组织的</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项目招标中若获中标（项目代理编号：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），我们保证在领取中标通知书时按招标文件的规定，以支票、电汇或现金，向贵公司一次性支付应该交纳的中标服务费用。收费标准参照国家原计价格[2002]1980号文、</w:t>
      </w:r>
      <w:r>
        <w:rPr>
          <w:rFonts w:hint="eastAsia" w:ascii="宋体" w:hAnsi="宋体"/>
          <w:kern w:val="0"/>
          <w:sz w:val="24"/>
        </w:rPr>
        <w:t>发改办价格[2003]857号文及</w:t>
      </w:r>
      <w:r>
        <w:rPr>
          <w:rFonts w:ascii="宋体" w:hAnsi="宋体"/>
          <w:kern w:val="0"/>
          <w:sz w:val="24"/>
        </w:rPr>
        <w:t>发改价格</w:t>
      </w:r>
      <w:r>
        <w:rPr>
          <w:kern w:val="0"/>
          <w:sz w:val="24"/>
        </w:rPr>
        <w:t>[2011]534</w:t>
      </w:r>
      <w:r>
        <w:rPr>
          <w:rFonts w:ascii="宋体" w:hAnsi="宋体"/>
          <w:kern w:val="0"/>
          <w:sz w:val="24"/>
        </w:rPr>
        <w:t>号</w:t>
      </w:r>
      <w:r>
        <w:rPr>
          <w:rFonts w:hint="eastAsia" w:ascii="宋体" w:hAnsi="宋体"/>
          <w:kern w:val="0"/>
          <w:sz w:val="24"/>
        </w:rPr>
        <w:t>文有关规定向中标人收取</w:t>
      </w:r>
      <w:r>
        <w:rPr>
          <w:rFonts w:hint="eastAsia" w:ascii="宋体" w:hAnsi="宋体"/>
          <w:sz w:val="24"/>
        </w:rPr>
        <w:t>中标服务费用。</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ab/>
      </w:r>
      <w:r>
        <w:rPr>
          <w:rFonts w:hint="eastAsia" w:ascii="宋体" w:hAnsi="宋体"/>
          <w:sz w:val="24"/>
        </w:rPr>
        <w:t>承诺方法定名称：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承诺方授权代表签字：</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（承诺方盖章）</w:t>
      </w:r>
    </w:p>
    <w:p>
      <w:pPr>
        <w:spacing w:line="360" w:lineRule="auto"/>
        <w:rPr>
          <w:rFonts w:ascii="宋体" w:hAnsi="宋体"/>
          <w:sz w:val="24"/>
          <w:u w:val="single"/>
        </w:rPr>
      </w:pPr>
      <w:r>
        <w:rPr>
          <w:rFonts w:hint="eastAsia" w:ascii="宋体" w:hAnsi="宋体"/>
          <w:sz w:val="24"/>
        </w:rPr>
        <w:tab/>
      </w:r>
      <w:r>
        <w:rPr>
          <w:rFonts w:hint="eastAsia" w:ascii="宋体" w:hAnsi="宋体"/>
          <w:sz w:val="24"/>
        </w:rPr>
        <w:t>承诺日期：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pStyle w:val="5"/>
        <w:spacing w:line="360" w:lineRule="auto"/>
        <w:rPr>
          <w:rFonts w:hAnsi="宋体"/>
        </w:rPr>
      </w:pPr>
    </w:p>
    <w:p>
      <w:pPr>
        <w:pStyle w:val="5"/>
        <w:spacing w:line="360" w:lineRule="auto"/>
        <w:rPr>
          <w:rFonts w:hAnsi="宋体"/>
        </w:rPr>
      </w:pPr>
    </w:p>
    <w:bookmarkEnd w:id="553"/>
    <w:p>
      <w:pPr>
        <w:tabs>
          <w:tab w:val="left" w:pos="5580"/>
        </w:tabs>
        <w:spacing w:before="360" w:line="360" w:lineRule="auto"/>
        <w:rPr>
          <w:rFonts w:ascii="宋体" w:hAnsi="宋体"/>
          <w:bCs/>
          <w:sz w:val="24"/>
        </w:rPr>
      </w:pPr>
    </w:p>
    <w:p>
      <w:pPr>
        <w:tabs>
          <w:tab w:val="left" w:pos="5580"/>
        </w:tabs>
        <w:spacing w:before="360" w:line="360" w:lineRule="auto"/>
        <w:rPr>
          <w:rFonts w:ascii="宋体" w:hAnsi="宋体"/>
          <w:bCs/>
          <w:sz w:val="24"/>
        </w:rPr>
      </w:pPr>
    </w:p>
    <w:p>
      <w:pPr>
        <w:rPr>
          <w:sz w:val="24"/>
        </w:rPr>
      </w:pPr>
      <w:bookmarkStart w:id="581" w:name="_Toc386123377"/>
      <w:bookmarkStart w:id="582" w:name="_Toc40111045"/>
      <w:bookmarkStart w:id="583" w:name="_Toc5895228"/>
      <w:bookmarkStart w:id="584" w:name="_Toc324255621"/>
      <w:bookmarkStart w:id="585" w:name="_Toc523911448"/>
      <w:r>
        <w:rPr>
          <w:sz w:val="24"/>
        </w:rPr>
        <w:br w:type="page"/>
      </w:r>
    </w:p>
    <w:p>
      <w:pPr>
        <w:pStyle w:val="6"/>
        <w:jc w:val="center"/>
        <w:rPr>
          <w:rFonts w:hint="default"/>
          <w:sz w:val="24"/>
        </w:rPr>
      </w:pPr>
      <w:bookmarkStart w:id="586" w:name="_Toc3649"/>
      <w:r>
        <w:rPr>
          <w:sz w:val="24"/>
        </w:rPr>
        <w:t xml:space="preserve">12 </w:t>
      </w:r>
      <w:bookmarkEnd w:id="581"/>
      <w:bookmarkEnd w:id="582"/>
      <w:bookmarkEnd w:id="583"/>
      <w:bookmarkEnd w:id="584"/>
      <w:bookmarkEnd w:id="585"/>
      <w:r>
        <w:rPr>
          <w:sz w:val="24"/>
        </w:rPr>
        <w:t>中小企业声明函（</w:t>
      </w:r>
      <w:r>
        <w:rPr>
          <w:sz w:val="24"/>
          <w:lang w:val="en-US"/>
        </w:rPr>
        <w:t>货物</w:t>
      </w:r>
      <w:r>
        <w:rPr>
          <w:sz w:val="24"/>
        </w:rPr>
        <w:t>）</w:t>
      </w:r>
      <w:bookmarkEnd w:id="586"/>
    </w:p>
    <w:p>
      <w:pPr>
        <w:pStyle w:val="5"/>
        <w:rPr>
          <w:rFonts w:hAnsi="宋体"/>
        </w:rPr>
      </w:pPr>
    </w:p>
    <w:p>
      <w:pPr>
        <w:pStyle w:val="5"/>
        <w:rPr>
          <w:rFonts w:hAnsi="宋体"/>
        </w:rPr>
      </w:pPr>
    </w:p>
    <w:p>
      <w:pPr>
        <w:widowControl/>
        <w:spacing w:line="360" w:lineRule="auto"/>
        <w:ind w:firstLine="480" w:firstLineChars="200"/>
        <w:jc w:val="left"/>
        <w:rPr>
          <w:rFonts w:ascii="宋体" w:hAnsi="宋体"/>
          <w:sz w:val="24"/>
        </w:rPr>
      </w:pPr>
      <w:r>
        <w:rPr>
          <w:rFonts w:hint="eastAsia" w:ascii="宋体" w:hAnsi="宋体"/>
          <w:color w:val="000000"/>
          <w:kern w:val="0"/>
          <w:sz w:val="24"/>
        </w:rPr>
        <w:t>本公司（联合体）郑重声明，根据《政府采购促进中小企业发展管理办法》（财库﹝2020﹞46号）的规定，本公司（联合体）参加</w:t>
      </w:r>
      <w:r>
        <w:rPr>
          <w:rFonts w:hint="eastAsia" w:ascii="宋体" w:hAnsi="宋体"/>
          <w:i/>
          <w:color w:val="000000"/>
          <w:kern w:val="0"/>
          <w:sz w:val="24"/>
          <w:u w:val="single"/>
        </w:rPr>
        <w:t>（单位名称）</w:t>
      </w:r>
      <w:r>
        <w:rPr>
          <w:rFonts w:hint="eastAsia" w:ascii="宋体" w:hAnsi="宋体"/>
          <w:color w:val="000000"/>
          <w:kern w:val="0"/>
          <w:sz w:val="24"/>
        </w:rPr>
        <w:t>的</w:t>
      </w:r>
      <w:r>
        <w:rPr>
          <w:rFonts w:hint="eastAsia" w:ascii="宋体" w:hAnsi="宋体"/>
          <w:i/>
          <w:color w:val="000000"/>
          <w:kern w:val="0"/>
          <w:sz w:val="24"/>
          <w:u w:val="single"/>
        </w:rPr>
        <w:t>（项目名称）</w:t>
      </w:r>
      <w:r>
        <w:rPr>
          <w:rFonts w:hint="eastAsia" w:ascii="宋体" w:hAnsi="宋体"/>
          <w:color w:val="000000"/>
          <w:kern w:val="0"/>
          <w:sz w:val="24"/>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hAnsi="宋体"/>
          <w:sz w:val="24"/>
        </w:rPr>
      </w:pPr>
      <w:r>
        <w:rPr>
          <w:rFonts w:hint="eastAsia" w:ascii="宋体" w:hAnsi="宋体"/>
          <w:color w:val="000000"/>
          <w:kern w:val="0"/>
          <w:sz w:val="24"/>
        </w:rPr>
        <w:t xml:space="preserve">1. </w:t>
      </w:r>
      <w:r>
        <w:rPr>
          <w:rFonts w:hint="eastAsia" w:ascii="宋体" w:hAnsi="宋体"/>
          <w:color w:val="000000"/>
          <w:kern w:val="0"/>
          <w:sz w:val="24"/>
          <w:u w:val="single"/>
        </w:rPr>
        <w:t>（标的名称）</w:t>
      </w:r>
      <w:r>
        <w:rPr>
          <w:rFonts w:hint="eastAsia" w:ascii="宋体" w:hAnsi="宋体"/>
          <w:color w:val="000000"/>
          <w:kern w:val="0"/>
          <w:sz w:val="24"/>
        </w:rPr>
        <w:t>，属于</w:t>
      </w:r>
      <w:r>
        <w:rPr>
          <w:rFonts w:hint="eastAsia" w:ascii="宋体" w:hAnsi="宋体"/>
          <w:color w:val="000000"/>
          <w:kern w:val="0"/>
          <w:sz w:val="24"/>
          <w:u w:val="single"/>
        </w:rPr>
        <w:t>（工业）</w:t>
      </w:r>
      <w:r>
        <w:rPr>
          <w:rFonts w:hint="eastAsia" w:ascii="宋体" w:hAnsi="宋体"/>
          <w:color w:val="000000"/>
          <w:kern w:val="0"/>
          <w:sz w:val="24"/>
        </w:rPr>
        <w:t>；制造商为</w:t>
      </w:r>
      <w:r>
        <w:rPr>
          <w:rFonts w:hint="eastAsia" w:ascii="宋体" w:hAnsi="宋体"/>
          <w:color w:val="000000"/>
          <w:kern w:val="0"/>
          <w:sz w:val="24"/>
          <w:u w:val="single"/>
        </w:rPr>
        <w:t>（企业名称）</w:t>
      </w:r>
      <w:r>
        <w:rPr>
          <w:rFonts w:hint="eastAsia" w:ascii="宋体" w:hAnsi="宋体"/>
          <w:color w:val="000000"/>
          <w:kern w:val="0"/>
          <w:sz w:val="24"/>
        </w:rPr>
        <w:t>，从业人员人，营业收入为万元，资产总额为万元</w:t>
      </w:r>
      <w:r>
        <w:rPr>
          <w:rFonts w:hint="eastAsia" w:cs="Calibri"/>
          <w:color w:val="000000"/>
          <w:kern w:val="0"/>
          <w:sz w:val="24"/>
          <w:vertAlign w:val="superscript"/>
        </w:rPr>
        <w:t>1</w:t>
      </w:r>
      <w:r>
        <w:rPr>
          <w:rFonts w:hint="eastAsia" w:ascii="宋体" w:hAnsi="宋体"/>
          <w:color w:val="000000"/>
          <w:kern w:val="0"/>
          <w:sz w:val="24"/>
        </w:rPr>
        <w:t>，属于</w:t>
      </w:r>
      <w:r>
        <w:rPr>
          <w:rFonts w:hint="eastAsia" w:ascii="宋体" w:hAnsi="宋体"/>
          <w:color w:val="000000"/>
          <w:kern w:val="0"/>
          <w:sz w:val="24"/>
          <w:u w:val="single"/>
        </w:rPr>
        <w:t>（中型企业、小型企业、微型企业）</w:t>
      </w:r>
      <w:r>
        <w:rPr>
          <w:rFonts w:hint="eastAsia" w:ascii="宋体" w:hAnsi="宋体"/>
          <w:color w:val="000000"/>
          <w:kern w:val="0"/>
          <w:sz w:val="24"/>
        </w:rPr>
        <w:t>；</w:t>
      </w:r>
    </w:p>
    <w:p>
      <w:pPr>
        <w:widowControl/>
        <w:spacing w:line="360" w:lineRule="auto"/>
        <w:ind w:firstLine="480" w:firstLineChars="200"/>
        <w:jc w:val="left"/>
        <w:rPr>
          <w:rFonts w:ascii="宋体" w:hAnsi="宋体"/>
          <w:sz w:val="24"/>
        </w:rPr>
      </w:pPr>
      <w:r>
        <w:rPr>
          <w:rFonts w:hint="eastAsia" w:ascii="宋体" w:hAnsi="宋体"/>
          <w:color w:val="000000"/>
          <w:kern w:val="0"/>
          <w:sz w:val="24"/>
        </w:rPr>
        <w:t xml:space="preserve">2. </w:t>
      </w:r>
      <w:r>
        <w:rPr>
          <w:rFonts w:hint="eastAsia" w:ascii="宋体" w:hAnsi="宋体"/>
          <w:color w:val="000000"/>
          <w:kern w:val="0"/>
          <w:sz w:val="24"/>
          <w:u w:val="single"/>
        </w:rPr>
        <w:t>（标的名称）</w:t>
      </w:r>
      <w:r>
        <w:rPr>
          <w:rFonts w:hint="eastAsia" w:ascii="宋体" w:hAnsi="宋体"/>
          <w:color w:val="000000"/>
          <w:kern w:val="0"/>
          <w:sz w:val="24"/>
        </w:rPr>
        <w:t>，属于</w:t>
      </w:r>
      <w:r>
        <w:rPr>
          <w:rFonts w:hint="eastAsia" w:ascii="宋体" w:hAnsi="宋体"/>
          <w:color w:val="000000"/>
          <w:kern w:val="0"/>
          <w:sz w:val="24"/>
          <w:u w:val="single"/>
        </w:rPr>
        <w:t>（工业）</w:t>
      </w:r>
      <w:r>
        <w:rPr>
          <w:rFonts w:hint="eastAsia" w:ascii="宋体" w:hAnsi="宋体"/>
          <w:color w:val="000000"/>
          <w:kern w:val="0"/>
          <w:sz w:val="24"/>
        </w:rPr>
        <w:t>；制造商为</w:t>
      </w:r>
      <w:r>
        <w:rPr>
          <w:rFonts w:hint="eastAsia" w:ascii="宋体" w:hAnsi="宋体"/>
          <w:color w:val="000000"/>
          <w:kern w:val="0"/>
          <w:sz w:val="24"/>
          <w:u w:val="single"/>
        </w:rPr>
        <w:t>（企业名称）</w:t>
      </w:r>
      <w:r>
        <w:rPr>
          <w:rFonts w:hint="eastAsia" w:ascii="宋体" w:hAnsi="宋体"/>
          <w:color w:val="000000"/>
          <w:kern w:val="0"/>
          <w:sz w:val="24"/>
        </w:rPr>
        <w:t>，从业人员人，营业收入为万元，资产总额为万元，属于</w:t>
      </w:r>
      <w:r>
        <w:rPr>
          <w:rFonts w:hint="eastAsia" w:ascii="宋体" w:hAnsi="宋体"/>
          <w:color w:val="000000"/>
          <w:kern w:val="0"/>
          <w:sz w:val="24"/>
          <w:u w:val="single"/>
        </w:rPr>
        <w:t>（中型企业、小型企业、微型企业）</w:t>
      </w:r>
      <w:r>
        <w:rPr>
          <w:rFonts w:hint="eastAsia" w:ascii="宋体" w:hAnsi="宋体"/>
          <w:color w:val="000000"/>
          <w:kern w:val="0"/>
          <w:sz w:val="24"/>
        </w:rPr>
        <w:t>；</w:t>
      </w:r>
    </w:p>
    <w:p>
      <w:pPr>
        <w:widowControl/>
        <w:spacing w:line="360" w:lineRule="auto"/>
        <w:ind w:firstLine="480" w:firstLineChars="200"/>
        <w:jc w:val="left"/>
        <w:rPr>
          <w:rFonts w:ascii="宋体" w:hAnsi="宋体"/>
          <w:sz w:val="24"/>
        </w:rPr>
      </w:pPr>
      <w:r>
        <w:rPr>
          <w:rFonts w:hint="eastAsia" w:ascii="宋体" w:hAnsi="宋体"/>
          <w:color w:val="000000"/>
          <w:kern w:val="0"/>
          <w:sz w:val="24"/>
        </w:rPr>
        <w:t>……</w:t>
      </w:r>
    </w:p>
    <w:p>
      <w:pPr>
        <w:widowControl/>
        <w:spacing w:line="360" w:lineRule="auto"/>
        <w:ind w:firstLine="480" w:firstLineChars="200"/>
        <w:jc w:val="left"/>
        <w:rPr>
          <w:rFonts w:ascii="宋体" w:hAnsi="宋体"/>
          <w:sz w:val="24"/>
        </w:rPr>
      </w:pPr>
      <w:r>
        <w:rPr>
          <w:rFonts w:hint="eastAsia" w:ascii="宋体" w:hAnsi="宋体"/>
          <w:color w:val="000000"/>
          <w:kern w:val="0"/>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sz w:val="24"/>
        </w:rPr>
      </w:pPr>
      <w:r>
        <w:rPr>
          <w:rFonts w:hint="eastAsia" w:ascii="宋体" w:hAnsi="宋体"/>
          <w:color w:val="000000"/>
          <w:kern w:val="0"/>
          <w:sz w:val="24"/>
        </w:rPr>
        <w:t>本企业对上述声明内容的真实性负责。如有虚假，将依法承担相应责任。</w:t>
      </w:r>
    </w:p>
    <w:p>
      <w:pPr>
        <w:widowControl/>
        <w:spacing w:line="360" w:lineRule="auto"/>
        <w:ind w:firstLine="5040" w:firstLineChars="2100"/>
        <w:jc w:val="left"/>
        <w:rPr>
          <w:rFonts w:ascii="宋体" w:hAnsi="宋体"/>
          <w:color w:val="000000"/>
          <w:kern w:val="0"/>
          <w:sz w:val="24"/>
        </w:rPr>
      </w:pPr>
    </w:p>
    <w:p>
      <w:pPr>
        <w:widowControl/>
        <w:spacing w:line="360" w:lineRule="auto"/>
        <w:ind w:firstLine="5040" w:firstLineChars="2100"/>
        <w:jc w:val="left"/>
        <w:rPr>
          <w:rFonts w:ascii="宋体" w:hAnsi="宋体"/>
          <w:sz w:val="24"/>
        </w:rPr>
      </w:pPr>
      <w:r>
        <w:rPr>
          <w:rFonts w:hint="eastAsia" w:ascii="宋体" w:hAnsi="宋体"/>
          <w:color w:val="000000"/>
          <w:kern w:val="0"/>
          <w:sz w:val="24"/>
        </w:rPr>
        <w:t>企业名称（盖章）：</w:t>
      </w:r>
    </w:p>
    <w:p>
      <w:pPr>
        <w:widowControl/>
        <w:spacing w:line="360" w:lineRule="auto"/>
        <w:ind w:firstLine="5760" w:firstLineChars="2400"/>
        <w:jc w:val="left"/>
        <w:rPr>
          <w:rFonts w:ascii="宋体" w:hAnsi="宋体"/>
          <w:color w:val="000000"/>
          <w:kern w:val="0"/>
          <w:sz w:val="24"/>
        </w:rPr>
      </w:pPr>
      <w:r>
        <w:rPr>
          <w:rFonts w:hint="eastAsia" w:ascii="宋体" w:hAnsi="宋体"/>
          <w:color w:val="000000"/>
          <w:kern w:val="0"/>
          <w:sz w:val="24"/>
        </w:rPr>
        <w:t>日期：</w:t>
      </w:r>
    </w:p>
    <w:p>
      <w:pPr>
        <w:pStyle w:val="19"/>
        <w:ind w:firstLine="480"/>
        <w:rPr>
          <w:rFonts w:ascii="宋体" w:hAnsi="宋体"/>
          <w:color w:val="000000"/>
          <w:kern w:val="0"/>
          <w:sz w:val="24"/>
          <w:szCs w:val="24"/>
          <w:lang w:val="en-US"/>
        </w:rPr>
      </w:pPr>
    </w:p>
    <w:p>
      <w:pPr>
        <w:pStyle w:val="19"/>
        <w:ind w:firstLine="480"/>
        <w:rPr>
          <w:rFonts w:ascii="宋体" w:hAnsi="宋体"/>
          <w:color w:val="000000"/>
          <w:kern w:val="0"/>
          <w:sz w:val="24"/>
          <w:szCs w:val="24"/>
          <w:lang w:val="en-US"/>
        </w:rPr>
      </w:pPr>
    </w:p>
    <w:p>
      <w:pPr>
        <w:pStyle w:val="19"/>
        <w:ind w:left="0" w:leftChars="0" w:firstLine="0" w:firstLineChars="0"/>
        <w:rPr>
          <w:rFonts w:ascii="宋体" w:hAnsi="宋体"/>
          <w:color w:val="000000"/>
          <w:kern w:val="0"/>
          <w:szCs w:val="21"/>
          <w:lang w:val="en-US"/>
        </w:rPr>
      </w:pPr>
      <w:r>
        <w:rPr>
          <w:rFonts w:hint="eastAsia" w:cs="Calibri"/>
          <w:color w:val="000000"/>
          <w:kern w:val="0"/>
          <w:szCs w:val="21"/>
          <w:vertAlign w:val="superscript"/>
          <w:lang w:val="en-US"/>
        </w:rPr>
        <w:t>1</w:t>
      </w:r>
      <w:r>
        <w:rPr>
          <w:rFonts w:hint="eastAsia" w:ascii="宋体" w:hAnsi="宋体"/>
          <w:color w:val="000000"/>
          <w:kern w:val="0"/>
          <w:szCs w:val="21"/>
          <w:lang w:val="en-US"/>
        </w:rPr>
        <w:t>从业人员、营业收入、资产总额填报上一年度数据，无上一年度数据的新成立企业可不填报。</w:t>
      </w:r>
    </w:p>
    <w:p>
      <w:pPr>
        <w:widowControl/>
        <w:snapToGrid w:val="0"/>
        <w:spacing w:before="240" w:beforeLines="100" w:after="100" w:afterAutospacing="1" w:line="360" w:lineRule="auto"/>
        <w:ind w:firstLine="420"/>
        <w:jc w:val="left"/>
        <w:rPr>
          <w:sz w:val="24"/>
        </w:rPr>
      </w:pPr>
    </w:p>
    <w:p/>
    <w:p>
      <w:pPr>
        <w:pStyle w:val="19"/>
      </w:pPr>
    </w:p>
    <w:p>
      <w:pPr>
        <w:pStyle w:val="19"/>
      </w:pPr>
      <w:r>
        <w:br w:type="page"/>
      </w:r>
    </w:p>
    <w:p>
      <w:pPr>
        <w:pStyle w:val="6"/>
        <w:tabs>
          <w:tab w:val="left" w:pos="900"/>
        </w:tabs>
        <w:spacing w:line="360" w:lineRule="auto"/>
        <w:jc w:val="center"/>
        <w:rPr>
          <w:rFonts w:hint="default"/>
          <w:sz w:val="24"/>
        </w:rPr>
      </w:pPr>
      <w:bookmarkStart w:id="587" w:name="_Toc40111046"/>
      <w:bookmarkStart w:id="588" w:name="_Toc7335"/>
      <w:r>
        <w:rPr>
          <w:sz w:val="24"/>
        </w:rPr>
        <w:t>13 残疾人福利性单位声明函（如适用）</w:t>
      </w:r>
      <w:bookmarkEnd w:id="587"/>
      <w:bookmarkEnd w:id="588"/>
    </w:p>
    <w:p>
      <w:pPr>
        <w:pStyle w:val="19"/>
        <w:rPr>
          <w:lang w:val="en-GB"/>
        </w:rPr>
      </w:pPr>
    </w:p>
    <w:p>
      <w:pPr>
        <w:pStyle w:val="5"/>
        <w:spacing w:line="360" w:lineRule="auto"/>
        <w:ind w:firstLine="360" w:firstLineChars="150"/>
        <w:rPr>
          <w:lang w:val="en-US"/>
        </w:rPr>
      </w:pPr>
      <w:r>
        <w:rPr>
          <w:rFonts w:hint="eastAsia"/>
          <w:lang w:val="en-US"/>
        </w:rPr>
        <w:t>本单位郑重声明，根据《财政部民政部中国残疾人联合会关于促进残疾人就业政府采购政策的通知》（财库〔2017〕 141号）的规定，本单位为符合条件的残疾人福利性单位，且本单位参加</w:t>
      </w:r>
      <w:r>
        <w:rPr>
          <w:rFonts w:hint="eastAsia"/>
          <w:u w:val="single"/>
        </w:rPr>
        <w:t xml:space="preserve">         （采购人名称）</w:t>
      </w:r>
      <w:r>
        <w:t>单位的</w:t>
      </w:r>
      <w:r>
        <w:rPr>
          <w:rFonts w:hint="eastAsia"/>
          <w:u w:val="single"/>
        </w:rPr>
        <w:t xml:space="preserve">       （项目名称）</w:t>
      </w:r>
      <w:r>
        <w:rPr>
          <w:rFonts w:hint="eastAsia"/>
          <w:lang w:val="en-US"/>
        </w:rPr>
        <w:t>采购活动提供本单位制造的货物（由本单位承担工程/提供服务），或者提供其他残疾人福利性单位制造的货物（不包括使用非残疾人福利性单位注册商标的货物）。</w:t>
      </w:r>
    </w:p>
    <w:p>
      <w:pPr>
        <w:pStyle w:val="5"/>
        <w:spacing w:line="360" w:lineRule="auto"/>
        <w:rPr>
          <w:lang w:val="en-US"/>
        </w:rPr>
      </w:pPr>
      <w:r>
        <w:rPr>
          <w:rFonts w:hint="eastAsia"/>
          <w:lang w:val="en-US"/>
        </w:rPr>
        <w:t>本单位对上述声明的真实性负责。如有虚假，将依法承担相应责任。</w:t>
      </w:r>
    </w:p>
    <w:p>
      <w:pPr>
        <w:pStyle w:val="5"/>
        <w:spacing w:line="360" w:lineRule="auto"/>
        <w:rPr>
          <w:lang w:val="en-US"/>
        </w:rPr>
      </w:pPr>
    </w:p>
    <w:p>
      <w:pPr>
        <w:pStyle w:val="5"/>
        <w:spacing w:line="360" w:lineRule="auto"/>
        <w:rPr>
          <w:lang w:val="en-US"/>
        </w:rPr>
      </w:pPr>
    </w:p>
    <w:p>
      <w:pPr>
        <w:pStyle w:val="5"/>
        <w:spacing w:line="480" w:lineRule="auto"/>
        <w:rPr>
          <w:lang w:val="en-US"/>
        </w:rPr>
      </w:pPr>
      <w:r>
        <w:rPr>
          <w:rFonts w:hint="eastAsia"/>
          <w:lang w:val="en-US"/>
        </w:rPr>
        <w:t>投标人名称（盖章）：</w:t>
      </w:r>
    </w:p>
    <w:p>
      <w:pPr>
        <w:pStyle w:val="5"/>
        <w:spacing w:line="480" w:lineRule="auto"/>
        <w:rPr>
          <w:lang w:val="en-US"/>
        </w:rPr>
      </w:pPr>
      <w:r>
        <w:rPr>
          <w:rFonts w:hint="eastAsia"/>
          <w:lang w:val="en-US"/>
        </w:rPr>
        <w:t>日期：</w:t>
      </w:r>
    </w:p>
    <w:p>
      <w:pPr>
        <w:widowControl/>
        <w:jc w:val="left"/>
        <w:rPr>
          <w:rFonts w:ascii="宋体" w:hAnsi="宋体"/>
          <w:kern w:val="0"/>
          <w:sz w:val="24"/>
          <w:szCs w:val="20"/>
          <w:lang w:val="zh-CN"/>
        </w:rPr>
      </w:pPr>
      <w:r>
        <w:rPr>
          <w:rFonts w:ascii="宋体" w:hAnsi="宋体"/>
          <w:kern w:val="0"/>
          <w:sz w:val="24"/>
          <w:szCs w:val="20"/>
          <w:lang w:val="zh-CN"/>
        </w:rPr>
        <w:br w:type="page"/>
      </w:r>
    </w:p>
    <w:p>
      <w:pPr>
        <w:pStyle w:val="6"/>
        <w:tabs>
          <w:tab w:val="left" w:pos="900"/>
        </w:tabs>
        <w:spacing w:line="360" w:lineRule="auto"/>
        <w:jc w:val="center"/>
        <w:rPr>
          <w:rFonts w:hint="default"/>
          <w:sz w:val="24"/>
        </w:rPr>
      </w:pPr>
      <w:bookmarkStart w:id="589" w:name="_Toc5895229"/>
      <w:bookmarkStart w:id="590" w:name="_Toc16819"/>
      <w:bookmarkStart w:id="591" w:name="_Toc40111047"/>
      <w:r>
        <w:rPr>
          <w:sz w:val="24"/>
        </w:rPr>
        <w:t>14 监狱、戒毒企业声明函（如适用）</w:t>
      </w:r>
      <w:bookmarkEnd w:id="589"/>
      <w:bookmarkEnd w:id="590"/>
      <w:bookmarkEnd w:id="591"/>
    </w:p>
    <w:p>
      <w:pPr>
        <w:spacing w:line="480" w:lineRule="auto"/>
        <w:jc w:val="center"/>
        <w:rPr>
          <w:rFonts w:ascii="宋体" w:hAnsi="宋体" w:cs="Arial"/>
          <w:sz w:val="24"/>
        </w:rPr>
      </w:pPr>
      <w:r>
        <w:rPr>
          <w:rFonts w:hint="eastAsia" w:ascii="宋体" w:hAnsi="宋体"/>
          <w:b/>
          <w:sz w:val="24"/>
        </w:rPr>
        <w:t xml:space="preserve"> </w:t>
      </w:r>
      <w:r>
        <w:rPr>
          <w:rFonts w:hint="eastAsia" w:ascii="宋体" w:hAnsi="宋体"/>
          <w:sz w:val="24"/>
        </w:rPr>
        <w:t>（如为</w:t>
      </w:r>
      <w:r>
        <w:rPr>
          <w:rFonts w:ascii="宋体" w:hAnsi="宋体"/>
          <w:sz w:val="24"/>
        </w:rPr>
        <w:t>监狱</w:t>
      </w:r>
      <w:r>
        <w:rPr>
          <w:rFonts w:hint="eastAsia" w:ascii="宋体" w:hAnsi="宋体"/>
          <w:sz w:val="24"/>
        </w:rPr>
        <w:t>、</w:t>
      </w:r>
      <w:r>
        <w:rPr>
          <w:rFonts w:ascii="宋体" w:hAnsi="宋体"/>
          <w:sz w:val="24"/>
        </w:rPr>
        <w:t>戒毒</w:t>
      </w:r>
      <w:r>
        <w:rPr>
          <w:rFonts w:hint="eastAsia" w:ascii="宋体" w:hAnsi="宋体"/>
          <w:sz w:val="24"/>
        </w:rPr>
        <w:t>企业，须提供声明函</w:t>
      </w:r>
      <w:r>
        <w:rPr>
          <w:rFonts w:hint="eastAsia" w:ascii="宋体" w:hAnsi="宋体" w:cs="Arial"/>
          <w:sz w:val="24"/>
        </w:rPr>
        <w:t>）</w:t>
      </w:r>
    </w:p>
    <w:p>
      <w:pPr>
        <w:spacing w:line="480" w:lineRule="auto"/>
        <w:jc w:val="center"/>
        <w:rPr>
          <w:rFonts w:ascii="宋体" w:hAnsi="宋体" w:cs="Arial"/>
          <w:b/>
          <w:bCs/>
          <w:sz w:val="24"/>
        </w:rPr>
      </w:pPr>
    </w:p>
    <w:p>
      <w:pPr>
        <w:pStyle w:val="5"/>
        <w:spacing w:line="360" w:lineRule="auto"/>
        <w:ind w:firstLine="360" w:firstLineChars="150"/>
        <w:rPr>
          <w:lang w:val="en-US"/>
        </w:rPr>
      </w:pPr>
      <w:r>
        <w:rPr>
          <w:rFonts w:hint="eastAsia"/>
          <w:lang w:val="en-US"/>
        </w:rPr>
        <w:t>本公司为______（请填写：监狱、戒毒）企业。即，本公司同时满足以下条件：</w:t>
      </w:r>
    </w:p>
    <w:p>
      <w:pPr>
        <w:pStyle w:val="5"/>
        <w:spacing w:line="360" w:lineRule="auto"/>
        <w:ind w:firstLine="360" w:firstLineChars="150"/>
        <w:rPr>
          <w:lang w:val="en-US"/>
        </w:rPr>
      </w:pPr>
      <w:r>
        <w:rPr>
          <w:rFonts w:hint="eastAsia"/>
          <w:lang w:val="en-US"/>
        </w:rPr>
        <w:t>1.本公司为______（请填写：监狱、戒毒）企业。</w:t>
      </w:r>
    </w:p>
    <w:p>
      <w:pPr>
        <w:pStyle w:val="5"/>
        <w:spacing w:line="360" w:lineRule="auto"/>
        <w:ind w:firstLine="360" w:firstLineChars="150"/>
        <w:rPr>
          <w:lang w:val="en-US"/>
        </w:rPr>
      </w:pPr>
      <w:r>
        <w:rPr>
          <w:rFonts w:hint="eastAsia"/>
          <w:lang w:val="en-US"/>
        </w:rPr>
        <w:t>2.本公司参加     （采购人名称）单位的      （项目名称）采购活动提供本企业制造的货物，由本企业承担工程、提供服务，或者提供其他______（请填写：监狱、戒毒）企业制造的货物。</w:t>
      </w:r>
    </w:p>
    <w:p>
      <w:pPr>
        <w:pStyle w:val="5"/>
        <w:spacing w:line="360" w:lineRule="auto"/>
        <w:ind w:firstLine="360" w:firstLineChars="150"/>
        <w:rPr>
          <w:lang w:val="en-US"/>
        </w:rPr>
      </w:pPr>
      <w:r>
        <w:rPr>
          <w:rFonts w:hint="eastAsia"/>
          <w:lang w:val="en-US"/>
        </w:rPr>
        <w:t>本公司对上述声明的真实性负责。如有虚假，将依法承担相应责任。</w:t>
      </w:r>
    </w:p>
    <w:p>
      <w:pPr>
        <w:pStyle w:val="5"/>
        <w:spacing w:line="480" w:lineRule="auto"/>
        <w:rPr>
          <w:lang w:val="en-US"/>
        </w:rPr>
      </w:pPr>
    </w:p>
    <w:p>
      <w:pPr>
        <w:pStyle w:val="5"/>
        <w:spacing w:line="480" w:lineRule="auto"/>
        <w:rPr>
          <w:lang w:val="en-US"/>
        </w:rPr>
      </w:pPr>
      <w:r>
        <w:rPr>
          <w:rFonts w:hint="eastAsia"/>
          <w:lang w:val="en-US"/>
        </w:rPr>
        <w:t>投标人名称（盖章）：</w:t>
      </w:r>
    </w:p>
    <w:p>
      <w:pPr>
        <w:pStyle w:val="5"/>
        <w:spacing w:line="480" w:lineRule="auto"/>
        <w:rPr>
          <w:lang w:val="en-US"/>
        </w:rPr>
      </w:pPr>
      <w:r>
        <w:rPr>
          <w:rFonts w:hint="eastAsia"/>
          <w:lang w:val="en-US"/>
        </w:rPr>
        <w:t>日期：</w:t>
      </w:r>
    </w:p>
    <w:p>
      <w:pPr>
        <w:pStyle w:val="30"/>
        <w:widowControl w:val="0"/>
        <w:spacing w:line="480" w:lineRule="auto"/>
        <w:ind w:firstLine="373" w:firstLineChars="177"/>
        <w:rPr>
          <w:b/>
          <w:kern w:val="2"/>
        </w:rPr>
      </w:pPr>
    </w:p>
    <w:p>
      <w:pPr>
        <w:pStyle w:val="30"/>
        <w:widowControl w:val="0"/>
        <w:spacing w:line="480" w:lineRule="auto"/>
        <w:ind w:firstLine="373" w:firstLineChars="177"/>
        <w:rPr>
          <w:b/>
          <w:kern w:val="2"/>
        </w:rPr>
      </w:pPr>
      <w:r>
        <w:rPr>
          <w:rFonts w:hint="eastAsia"/>
          <w:b/>
          <w:kern w:val="2"/>
        </w:rPr>
        <w:t>注：</w:t>
      </w:r>
    </w:p>
    <w:p>
      <w:pPr>
        <w:pStyle w:val="30"/>
        <w:widowControl w:val="0"/>
        <w:spacing w:line="480" w:lineRule="auto"/>
        <w:ind w:left="372" w:leftChars="177"/>
        <w:rPr>
          <w:b/>
          <w:kern w:val="2"/>
          <w:szCs w:val="21"/>
        </w:rPr>
      </w:pPr>
      <w:r>
        <w:rPr>
          <w:rFonts w:hint="eastAsia"/>
          <w:b/>
          <w:kern w:val="2"/>
          <w:szCs w:val="21"/>
        </w:rPr>
        <w:t>(1)不符合上述情形的投标人无须提供上述声明函件。</w:t>
      </w:r>
    </w:p>
    <w:p>
      <w:pPr>
        <w:pStyle w:val="30"/>
        <w:widowControl w:val="0"/>
        <w:spacing w:line="480" w:lineRule="auto"/>
        <w:ind w:left="372" w:leftChars="177"/>
        <w:rPr>
          <w:b/>
          <w:kern w:val="2"/>
          <w:szCs w:val="21"/>
        </w:rPr>
      </w:pPr>
      <w:r>
        <w:rPr>
          <w:rFonts w:hint="eastAsia"/>
          <w:b/>
          <w:kern w:val="2"/>
          <w:szCs w:val="21"/>
        </w:rPr>
        <w:t>(2)提供市监狱管理局、市教育矫治局出具的监狱企业的证明文件。</w:t>
      </w:r>
    </w:p>
    <w:p>
      <w:pPr>
        <w:pStyle w:val="30"/>
        <w:widowControl w:val="0"/>
        <w:spacing w:line="480" w:lineRule="auto"/>
        <w:ind w:left="372" w:leftChars="177"/>
        <w:rPr>
          <w:b/>
          <w:kern w:val="2"/>
        </w:rPr>
      </w:pPr>
      <w:r>
        <w:rPr>
          <w:rFonts w:hint="eastAsia"/>
          <w:b/>
          <w:kern w:val="2"/>
          <w:szCs w:val="21"/>
        </w:rPr>
        <w:t>(3)在政府采购活动中，监狱企业视同小型、微型企业，享受预留份额、评审中价格扣除等政府采购促进中小企业发展的相关政策。向监狱企业采购的金额，计入面向中小企业采购的统计数据。</w:t>
      </w:r>
    </w:p>
    <w:p>
      <w:pPr>
        <w:tabs>
          <w:tab w:val="left" w:pos="5580"/>
        </w:tabs>
        <w:spacing w:before="120" w:line="360" w:lineRule="auto"/>
        <w:ind w:left="-2" w:leftChars="-1" w:firstLine="2"/>
        <w:jc w:val="center"/>
        <w:rPr>
          <w:sz w:val="24"/>
        </w:rPr>
      </w:pPr>
    </w:p>
    <w:p>
      <w:pPr>
        <w:pStyle w:val="5"/>
        <w:rPr>
          <w:lang w:val="en-US"/>
        </w:rPr>
        <w:sectPr>
          <w:pgSz w:w="11905" w:h="16838"/>
          <w:pgMar w:top="1088" w:right="2288" w:bottom="1400" w:left="1417" w:header="567" w:footer="850" w:gutter="0"/>
          <w:cols w:space="0" w:num="1"/>
          <w:docGrid w:linePitch="312" w:charSpace="0"/>
        </w:sectPr>
      </w:pPr>
    </w:p>
    <w:p>
      <w:pPr>
        <w:pStyle w:val="6"/>
        <w:tabs>
          <w:tab w:val="left" w:pos="900"/>
        </w:tabs>
        <w:spacing w:line="360" w:lineRule="auto"/>
        <w:jc w:val="center"/>
        <w:rPr>
          <w:rFonts w:hint="default"/>
          <w:sz w:val="24"/>
        </w:rPr>
      </w:pPr>
      <w:bookmarkStart w:id="592" w:name="_Toc4234"/>
      <w:bookmarkStart w:id="593" w:name="_Toc40111048"/>
      <w:bookmarkStart w:id="594" w:name="_Toc5895231"/>
      <w:r>
        <w:rPr>
          <w:sz w:val="24"/>
        </w:rPr>
        <w:t>15</w:t>
      </w:r>
      <w:r>
        <w:rPr>
          <w:sz w:val="24"/>
          <w:lang w:val="en-US"/>
        </w:rPr>
        <w:t xml:space="preserve"> </w:t>
      </w:r>
      <w:r>
        <w:rPr>
          <w:sz w:val="24"/>
        </w:rPr>
        <w:t>投标人认为必要的其他证明文件</w:t>
      </w:r>
      <w:bookmarkEnd w:id="592"/>
      <w:bookmarkEnd w:id="593"/>
      <w:bookmarkEnd w:id="594"/>
    </w:p>
    <w:bookmarkEnd w:id="304"/>
    <w:bookmarkEnd w:id="305"/>
    <w:bookmarkEnd w:id="306"/>
    <w:bookmarkEnd w:id="307"/>
    <w:p>
      <w:pPr>
        <w:pStyle w:val="2"/>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Segoe Print"/>
    <w:panose1 w:val="02040503050406030204"/>
    <w:charset w:val="00"/>
    <w:family w:val="roman"/>
    <w:pitch w:val="default"/>
    <w:sig w:usb0="00000000" w:usb1="00000000"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
    <w:altName w:val="Arial"/>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 w:val="clear" w:pos="8306"/>
      </w:tabs>
      <w:jc w:val="center"/>
    </w:pPr>
    <w:r>
      <w:fldChar w:fldCharType="begin"/>
    </w:r>
    <w:r>
      <w:instrText xml:space="preserve">PAGE   \* MERGEFORMAT</w:instrText>
    </w:r>
    <w:r>
      <w:fldChar w:fldCharType="separate"/>
    </w:r>
    <w: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188057127"/>
                          </w:sdtPr>
                          <w:sdtContent>
                            <w:p>
                              <w:pPr>
                                <w:pStyle w:val="14"/>
                                <w:jc w:val="center"/>
                              </w:pPr>
                              <w:r>
                                <w:fldChar w:fldCharType="begin"/>
                              </w:r>
                              <w:r>
                                <w:instrText xml:space="preserve">PAGE   \* MERGEFORMAT</w:instrText>
                              </w:r>
                              <w:r>
                                <w:fldChar w:fldCharType="separate"/>
                              </w:r>
                              <w:r>
                                <w:t>2</w:t>
                              </w:r>
                              <w:r>
                                <w:fldChar w:fldCharType="end"/>
                              </w:r>
                            </w:p>
                          </w:sdtContent>
                        </w:sdt>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7/IdABAACqAwAADgAAAGRycy9lMm9Eb2MueG1srVNLbtswEN0XyB0I&#10;7mPJWrSG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Ng4+qH2Hgy7zlOBvDxFHypOmDiMsMkwOPmHmOq1b2pE//Vz1/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f7/IdABAACqAwAADgAAAAAAAAABACAAAAAeAQAAZHJz&#10;L2Uyb0RvYy54bWxQSwUGAAAAAAYABgBZAQAAYAUAAAAA&#10;">
              <v:fill on="f" focussize="0,0"/>
              <v:stroke on="f"/>
              <v:imagedata o:title=""/>
              <o:lock v:ext="edit" aspectratio="f"/>
              <v:textbox inset="0mm,0mm,0mm,0mm" style="mso-fit-shape-to-text:t;">
                <w:txbxContent>
                  <w:sdt>
                    <w:sdtPr>
                      <w:id w:val="-1188057127"/>
                    </w:sdtPr>
                    <w:sdtContent>
                      <w:p>
                        <w:pPr>
                          <w:pStyle w:val="14"/>
                          <w:jc w:val="center"/>
                        </w:pPr>
                        <w:r>
                          <w:fldChar w:fldCharType="begin"/>
                        </w:r>
                        <w:r>
                          <w:instrText xml:space="preserve">PAGE   \* MERGEFORMAT</w:instrText>
                        </w:r>
                        <w:r>
                          <w:fldChar w:fldCharType="separate"/>
                        </w:r>
                        <w:r>
                          <w:t>2</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tabs>
        <w:tab w:val="left" w:pos="4149"/>
        <w:tab w:val="left" w:pos="8016"/>
        <w:tab w:val="clear" w:pos="4153"/>
        <w:tab w:val="clear" w:pos="8306"/>
      </w:tabs>
      <w:rPr>
        <w:rStyle w:val="23"/>
      </w:rPr>
    </w:pPr>
    <w:r>
      <w:rPr>
        <w:rStyle w:val="23"/>
      </w:rPr>
      <w:fldChar w:fldCharType="begin"/>
    </w:r>
    <w:r>
      <w:rPr>
        <w:rStyle w:val="23"/>
      </w:rPr>
      <w:instrText xml:space="preserve">PAGE  </w:instrText>
    </w:r>
    <w:r>
      <w:rPr>
        <w:rStyle w:val="23"/>
      </w:rPr>
      <w:fldChar w:fldCharType="separate"/>
    </w:r>
    <w:r>
      <w:rPr>
        <w:rStyle w:val="23"/>
      </w:rPr>
      <w:t>56</w:t>
    </w:r>
    <w:r>
      <w:rPr>
        <w:rStyle w:val="23"/>
      </w:rPr>
      <w:fldChar w:fldCharType="end"/>
    </w:r>
  </w:p>
  <w:p>
    <w:pPr>
      <w:snapToGrid w:val="0"/>
    </w:pPr>
    <w:r>
      <mc:AlternateContent>
        <mc:Choice Requires="wps">
          <w:drawing>
            <wp:anchor distT="0" distB="0" distL="114300" distR="114300" simplePos="0" relativeHeight="251660288" behindDoc="1" locked="0" layoutInCell="0" allowOverlap="1">
              <wp:simplePos x="0" y="0"/>
              <wp:positionH relativeFrom="page">
                <wp:posOffset>1141095</wp:posOffset>
              </wp:positionH>
              <wp:positionV relativeFrom="page">
                <wp:posOffset>9777095</wp:posOffset>
              </wp:positionV>
              <wp:extent cx="5277485" cy="2838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277485" cy="28384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9.85pt;margin-top:769.85pt;height:22.35pt;width:415.55pt;mso-position-horizontal-relative:page;mso-position-vertical-relative:page;z-index:-251656192;mso-width-relative:page;mso-height-relative:page;" filled="f" stroked="f" coordsize="21600,21600" o:allowincell="f" o:gfxdata="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yq&#10;L9YAAAAOAQAADwAAAAAAAAABACAAAAAiAAAAZHJzL2Rvd25yZXYueG1sUEsBAhQAFAAAAAgAh07i&#10;QAZfeiXrAQAA1AMAAA4AAAAAAAAAAQAgAAAAJQ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Cs w:val="18"/>
      </w:rPr>
    </w:pPr>
    <w:r>
      <w:rPr>
        <w:rFonts w:hint="eastAsia"/>
      </w:rPr>
      <w:t xml:space="preserve">2                        </w:t>
    </w:r>
    <w:r>
      <w:rPr>
        <w:rFonts w:hint="eastAsia"/>
        <w:szCs w:val="18"/>
      </w:rPr>
      <w:t>华采招标集团有限公司(HCZB)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66</w:t>
    </w:r>
    <w:r>
      <w:fldChar w:fldCharType="end"/>
    </w:r>
  </w:p>
  <w:p>
    <w:pPr>
      <w:pStyle w:val="1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p>
  <w:p>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Cambria"/>
        <w:color w:val="FF0000"/>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Cambria"/>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6" w:lineRule="auto"/>
      <w:rPr>
        <w:rFonts w:ascii="Cambria"/>
        <w:sz w:val="18"/>
        <w:szCs w:val="18"/>
        <w:u w:val="single"/>
      </w:rPr>
    </w:pPr>
  </w:p>
  <w:p>
    <w:pPr>
      <w:spacing w:line="360" w:lineRule="auto"/>
      <w:jc w:val="left"/>
      <w:rPr>
        <w:rFonts w:ascii="Cambria"/>
        <w:sz w:val="18"/>
        <w:szCs w:val="18"/>
        <w:u w:val="single"/>
      </w:rPr>
    </w:pPr>
    <w:r>
      <w:rPr>
        <w:rFonts w:hint="eastAsia" w:ascii="Cambria"/>
        <w:sz w:val="18"/>
        <w:szCs w:val="18"/>
        <w:u w:val="single"/>
      </w:rPr>
      <w:t xml:space="preserve">向基础教育倾斜-2015年北京市青少年校园足球-全国校园足球冠军杯赛项目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2BC38"/>
    <w:multiLevelType w:val="singleLevel"/>
    <w:tmpl w:val="D302BC38"/>
    <w:lvl w:ilvl="0" w:tentative="0">
      <w:start w:val="1"/>
      <w:numFmt w:val="chineseCounting"/>
      <w:suff w:val="space"/>
      <w:lvlText w:val="第%1章"/>
      <w:lvlJc w:val="left"/>
      <w:rPr>
        <w:rFonts w:hint="eastAsia"/>
      </w:rPr>
    </w:lvl>
  </w:abstractNum>
  <w:abstractNum w:abstractNumId="1">
    <w:nsid w:val="DE47FD13"/>
    <w:multiLevelType w:val="singleLevel"/>
    <w:tmpl w:val="DE47FD13"/>
    <w:lvl w:ilvl="0" w:tentative="0">
      <w:start w:val="1"/>
      <w:numFmt w:val="decimal"/>
      <w:suff w:val="nothing"/>
      <w:lvlText w:val="%1、"/>
      <w:lvlJc w:val="left"/>
    </w:lvl>
  </w:abstractNum>
  <w:abstractNum w:abstractNumId="2">
    <w:nsid w:val="FDD13C98"/>
    <w:multiLevelType w:val="singleLevel"/>
    <w:tmpl w:val="FDD13C98"/>
    <w:lvl w:ilvl="0" w:tentative="0">
      <w:start w:val="1"/>
      <w:numFmt w:val="decimal"/>
      <w:suff w:val="nothing"/>
      <w:lvlText w:val="%1、"/>
      <w:lvlJc w:val="left"/>
    </w:lvl>
  </w:abstractNum>
  <w:abstractNum w:abstractNumId="3">
    <w:nsid w:val="2186FBC0"/>
    <w:multiLevelType w:val="singleLevel"/>
    <w:tmpl w:val="2186FBC0"/>
    <w:lvl w:ilvl="0" w:tentative="0">
      <w:start w:val="2"/>
      <w:numFmt w:val="chineseCounting"/>
      <w:suff w:val="nothing"/>
      <w:lvlText w:val="（%1）"/>
      <w:lvlJc w:val="left"/>
      <w:rPr>
        <w:rFonts w:hint="eastAsia"/>
        <w:b/>
        <w:bC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2YjFlZjU2YjMwZDg5MmE5NzExYmRjMzgxYjVhZmMifQ=="/>
  </w:docVars>
  <w:rsids>
    <w:rsidRoot w:val="5595115F"/>
    <w:rsid w:val="005504C9"/>
    <w:rsid w:val="00562708"/>
    <w:rsid w:val="008361BD"/>
    <w:rsid w:val="00850D61"/>
    <w:rsid w:val="00857FDA"/>
    <w:rsid w:val="008B2614"/>
    <w:rsid w:val="00F53BFA"/>
    <w:rsid w:val="00F979C8"/>
    <w:rsid w:val="012408A7"/>
    <w:rsid w:val="02BF3592"/>
    <w:rsid w:val="035970FB"/>
    <w:rsid w:val="04B60EE8"/>
    <w:rsid w:val="04F217BD"/>
    <w:rsid w:val="05F81344"/>
    <w:rsid w:val="060663F2"/>
    <w:rsid w:val="08AF5983"/>
    <w:rsid w:val="09145998"/>
    <w:rsid w:val="09EB4117"/>
    <w:rsid w:val="0AAC2E21"/>
    <w:rsid w:val="0BD303CA"/>
    <w:rsid w:val="0C4931D4"/>
    <w:rsid w:val="0C5C198B"/>
    <w:rsid w:val="0C92450A"/>
    <w:rsid w:val="0C9C1AB7"/>
    <w:rsid w:val="0D3426B1"/>
    <w:rsid w:val="0EFF3C33"/>
    <w:rsid w:val="0F5E70A5"/>
    <w:rsid w:val="0FA31A0C"/>
    <w:rsid w:val="10086B7B"/>
    <w:rsid w:val="10143206"/>
    <w:rsid w:val="10853F04"/>
    <w:rsid w:val="10AB7932"/>
    <w:rsid w:val="11354A52"/>
    <w:rsid w:val="11434107"/>
    <w:rsid w:val="1287084C"/>
    <w:rsid w:val="151665F1"/>
    <w:rsid w:val="154D4C53"/>
    <w:rsid w:val="161812A0"/>
    <w:rsid w:val="16A448E7"/>
    <w:rsid w:val="16D7120E"/>
    <w:rsid w:val="175D2CE3"/>
    <w:rsid w:val="1A150DF9"/>
    <w:rsid w:val="1AFE44B9"/>
    <w:rsid w:val="1CC43F21"/>
    <w:rsid w:val="1CFE6494"/>
    <w:rsid w:val="1DCC482C"/>
    <w:rsid w:val="1DFB4FD8"/>
    <w:rsid w:val="1E251F60"/>
    <w:rsid w:val="1F4D1FBA"/>
    <w:rsid w:val="20A83CC4"/>
    <w:rsid w:val="216F133C"/>
    <w:rsid w:val="242749E3"/>
    <w:rsid w:val="25324124"/>
    <w:rsid w:val="256272BE"/>
    <w:rsid w:val="26A838FB"/>
    <w:rsid w:val="276F1304"/>
    <w:rsid w:val="28036E5A"/>
    <w:rsid w:val="29872811"/>
    <w:rsid w:val="2A3D0053"/>
    <w:rsid w:val="2C425F58"/>
    <w:rsid w:val="2C7965AC"/>
    <w:rsid w:val="2D0D5606"/>
    <w:rsid w:val="2D7050C6"/>
    <w:rsid w:val="2F245612"/>
    <w:rsid w:val="30353F6D"/>
    <w:rsid w:val="30717AD3"/>
    <w:rsid w:val="307B1892"/>
    <w:rsid w:val="32927F96"/>
    <w:rsid w:val="3341097A"/>
    <w:rsid w:val="33606A4D"/>
    <w:rsid w:val="34763909"/>
    <w:rsid w:val="351035CC"/>
    <w:rsid w:val="363870F0"/>
    <w:rsid w:val="363928BC"/>
    <w:rsid w:val="3A272D2D"/>
    <w:rsid w:val="3BCB4825"/>
    <w:rsid w:val="3C294748"/>
    <w:rsid w:val="3C484649"/>
    <w:rsid w:val="3D61347C"/>
    <w:rsid w:val="3EB81F36"/>
    <w:rsid w:val="421F6DE1"/>
    <w:rsid w:val="4262627F"/>
    <w:rsid w:val="43890D41"/>
    <w:rsid w:val="443E368C"/>
    <w:rsid w:val="44E73E09"/>
    <w:rsid w:val="452A1A9B"/>
    <w:rsid w:val="4550569A"/>
    <w:rsid w:val="4557299B"/>
    <w:rsid w:val="45E31208"/>
    <w:rsid w:val="47D22591"/>
    <w:rsid w:val="482E43AD"/>
    <w:rsid w:val="48337594"/>
    <w:rsid w:val="485C5EB3"/>
    <w:rsid w:val="489D45B7"/>
    <w:rsid w:val="49184B37"/>
    <w:rsid w:val="49492F43"/>
    <w:rsid w:val="4955275C"/>
    <w:rsid w:val="49E5605D"/>
    <w:rsid w:val="4C765E2A"/>
    <w:rsid w:val="4CAC0017"/>
    <w:rsid w:val="4D0553D3"/>
    <w:rsid w:val="4D704AAA"/>
    <w:rsid w:val="4D761E2D"/>
    <w:rsid w:val="4E4F1C65"/>
    <w:rsid w:val="4EDE6CC8"/>
    <w:rsid w:val="4F7B314B"/>
    <w:rsid w:val="4F892E3D"/>
    <w:rsid w:val="537B019D"/>
    <w:rsid w:val="540B4436"/>
    <w:rsid w:val="5595115F"/>
    <w:rsid w:val="57CC2569"/>
    <w:rsid w:val="5B14602E"/>
    <w:rsid w:val="5BF92A30"/>
    <w:rsid w:val="5C546E9A"/>
    <w:rsid w:val="5C691DEB"/>
    <w:rsid w:val="5E70333D"/>
    <w:rsid w:val="60623F68"/>
    <w:rsid w:val="60BF6988"/>
    <w:rsid w:val="634B27D5"/>
    <w:rsid w:val="634E2D02"/>
    <w:rsid w:val="63755EBC"/>
    <w:rsid w:val="64D53A8A"/>
    <w:rsid w:val="669075D4"/>
    <w:rsid w:val="67436F6C"/>
    <w:rsid w:val="699F6ED5"/>
    <w:rsid w:val="6D2C5EC2"/>
    <w:rsid w:val="6D320F5D"/>
    <w:rsid w:val="6E295781"/>
    <w:rsid w:val="6E9F10CE"/>
    <w:rsid w:val="70257DA9"/>
    <w:rsid w:val="7105363A"/>
    <w:rsid w:val="73C93F4D"/>
    <w:rsid w:val="742F175D"/>
    <w:rsid w:val="74406ECA"/>
    <w:rsid w:val="74D06850"/>
    <w:rsid w:val="759C6025"/>
    <w:rsid w:val="76542753"/>
    <w:rsid w:val="770B3462"/>
    <w:rsid w:val="773E6C6A"/>
    <w:rsid w:val="78D36201"/>
    <w:rsid w:val="7C684EB3"/>
    <w:rsid w:val="7DBB6AF4"/>
    <w:rsid w:val="7F1E7E80"/>
    <w:rsid w:val="7F466652"/>
    <w:rsid w:val="7FD5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6"/>
    <w:qFormat/>
    <w:uiPriority w:val="9"/>
    <w:pPr>
      <w:keepNext/>
      <w:keepLines/>
      <w:autoSpaceDE w:val="0"/>
      <w:autoSpaceDN w:val="0"/>
      <w:adjustRightInd w:val="0"/>
      <w:spacing w:before="240" w:after="120" w:line="300" w:lineRule="auto"/>
      <w:jc w:val="center"/>
      <w:outlineLvl w:val="0"/>
    </w:pPr>
    <w:rPr>
      <w:b/>
      <w:bCs/>
      <w:kern w:val="44"/>
      <w:sz w:val="28"/>
      <w:szCs w:val="44"/>
      <w:lang w:val="zh-CN"/>
    </w:rPr>
  </w:style>
  <w:style w:type="paragraph" w:styleId="4">
    <w:name w:val="heading 2"/>
    <w:basedOn w:val="1"/>
    <w:next w:val="5"/>
    <w:qFormat/>
    <w:uiPriority w:val="9"/>
    <w:pPr>
      <w:keepNext/>
      <w:keepLines/>
      <w:autoSpaceDE w:val="0"/>
      <w:autoSpaceDN w:val="0"/>
      <w:adjustRightInd w:val="0"/>
      <w:spacing w:before="120" w:line="300" w:lineRule="auto"/>
      <w:jc w:val="left"/>
      <w:outlineLvl w:val="1"/>
    </w:pPr>
    <w:rPr>
      <w:rFonts w:ascii="Cambria" w:hAnsi="Cambria"/>
      <w:sz w:val="28"/>
    </w:rPr>
  </w:style>
  <w:style w:type="paragraph" w:styleId="6">
    <w:name w:val="heading 3"/>
    <w:basedOn w:val="1"/>
    <w:next w:val="5"/>
    <w:qFormat/>
    <w:uiPriority w:val="9"/>
    <w:pPr>
      <w:keepNext/>
      <w:keepLines/>
      <w:autoSpaceDE w:val="0"/>
      <w:autoSpaceDN w:val="0"/>
      <w:adjustRightInd w:val="0"/>
      <w:spacing w:before="360" w:after="120"/>
      <w:jc w:val="left"/>
      <w:outlineLvl w:val="2"/>
    </w:pPr>
    <w:rPr>
      <w:rFonts w:hint="eastAsia" w:ascii="宋体" w:hAnsi="宋体"/>
      <w:kern w:val="0"/>
      <w:szCs w:val="20"/>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Theme="minorHAnsi" w:hAnsiTheme="minorHAnsi"/>
      <w:smallCaps/>
      <w:szCs w:val="20"/>
    </w:rPr>
  </w:style>
  <w:style w:type="paragraph" w:styleId="5">
    <w:name w:val="Normal Indent"/>
    <w:basedOn w:val="1"/>
    <w:qFormat/>
    <w:uiPriority w:val="0"/>
    <w:pPr>
      <w:autoSpaceDE w:val="0"/>
      <w:autoSpaceDN w:val="0"/>
      <w:adjustRightInd w:val="0"/>
      <w:ind w:firstLine="420"/>
      <w:jc w:val="left"/>
    </w:pPr>
    <w:rPr>
      <w:rFonts w:ascii="宋体"/>
      <w:kern w:val="0"/>
      <w:sz w:val="24"/>
      <w:szCs w:val="20"/>
      <w:lang w:val="zh-CN"/>
    </w:rPr>
  </w:style>
  <w:style w:type="paragraph" w:styleId="7">
    <w:name w:val="annotation text"/>
    <w:basedOn w:val="1"/>
    <w:qFormat/>
    <w:uiPriority w:val="0"/>
    <w:pPr>
      <w:jc w:val="left"/>
    </w:pPr>
  </w:style>
  <w:style w:type="paragraph" w:styleId="8">
    <w:name w:val="Body Text"/>
    <w:basedOn w:val="1"/>
    <w:next w:val="1"/>
    <w:unhideWhenUsed/>
    <w:qFormat/>
    <w:uiPriority w:val="0"/>
    <w:pPr>
      <w:spacing w:after="120"/>
    </w:pPr>
  </w:style>
  <w:style w:type="paragraph" w:styleId="9">
    <w:name w:val="Body Text Indent"/>
    <w:basedOn w:val="1"/>
    <w:next w:val="10"/>
    <w:qFormat/>
    <w:uiPriority w:val="99"/>
    <w:pPr>
      <w:tabs>
        <w:tab w:val="left" w:pos="5580"/>
      </w:tabs>
      <w:spacing w:before="120" w:line="360" w:lineRule="auto"/>
      <w:ind w:firstLine="454"/>
    </w:pPr>
    <w:rPr>
      <w:sz w:val="24"/>
      <w:lang w:val="zh-CN"/>
    </w:rPr>
  </w:style>
  <w:style w:type="paragraph" w:styleId="10">
    <w:name w:val="envelope return"/>
    <w:basedOn w:val="1"/>
    <w:qFormat/>
    <w:uiPriority w:val="99"/>
    <w:pPr>
      <w:snapToGrid w:val="0"/>
    </w:pPr>
    <w:rPr>
      <w:rFonts w:ascii="Arial" w:hAnsi="Arial" w:cs="Arial"/>
    </w:rPr>
  </w:style>
  <w:style w:type="paragraph" w:styleId="11">
    <w:name w:val="toc 3"/>
    <w:basedOn w:val="1"/>
    <w:next w:val="1"/>
    <w:qFormat/>
    <w:uiPriority w:val="39"/>
    <w:pPr>
      <w:ind w:left="420"/>
      <w:jc w:val="left"/>
    </w:pPr>
    <w:rPr>
      <w:rFonts w:asciiTheme="minorHAnsi" w:hAnsiTheme="minorHAnsi"/>
      <w:i/>
      <w:iCs/>
      <w:szCs w:val="20"/>
    </w:rPr>
  </w:style>
  <w:style w:type="paragraph" w:styleId="12">
    <w:name w:val="Plain Text"/>
    <w:basedOn w:val="1"/>
    <w:qFormat/>
    <w:uiPriority w:val="0"/>
    <w:rPr>
      <w:rFonts w:ascii="宋体" w:hAnsi="Courier New"/>
      <w:szCs w:val="20"/>
    </w:rPr>
  </w:style>
  <w:style w:type="paragraph" w:styleId="13">
    <w:name w:val="Balloon Text"/>
    <w:basedOn w:val="1"/>
    <w:link w:val="31"/>
    <w:qFormat/>
    <w:uiPriority w:val="0"/>
    <w:rPr>
      <w:sz w:val="18"/>
      <w:szCs w:val="18"/>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heme="minorHAnsi" w:hAnsiTheme="minorHAnsi"/>
      <w:b/>
      <w:bCs/>
      <w:caps/>
      <w:szCs w:val="20"/>
    </w:rPr>
  </w:style>
  <w:style w:type="paragraph" w:styleId="17">
    <w:name w:val="index 1"/>
    <w:basedOn w:val="1"/>
    <w:next w:val="1"/>
    <w:unhideWhenUsed/>
    <w:qFormat/>
    <w:uiPriority w:val="0"/>
  </w:style>
  <w:style w:type="paragraph" w:styleId="18">
    <w:name w:val="Body Text First Indent"/>
    <w:basedOn w:val="8"/>
    <w:qFormat/>
    <w:uiPriority w:val="0"/>
    <w:pPr>
      <w:tabs>
        <w:tab w:val="left" w:pos="567"/>
      </w:tabs>
      <w:ind w:firstLine="420" w:firstLineChars="100"/>
    </w:pPr>
    <w:rPr>
      <w:lang w:val="zh-CN"/>
    </w:rPr>
  </w:style>
  <w:style w:type="paragraph" w:styleId="19">
    <w:name w:val="Body Text First Indent 2"/>
    <w:basedOn w:val="9"/>
    <w:next w:val="18"/>
    <w:qFormat/>
    <w:uiPriority w:val="0"/>
    <w:pPr>
      <w:spacing w:after="120" w:line="240" w:lineRule="auto"/>
      <w:ind w:left="420" w:leftChars="200" w:firstLine="420" w:firstLineChars="200"/>
    </w:pPr>
    <w:rPr>
      <w:sz w:val="21"/>
      <w:szCs w:val="20"/>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4"/>
    <w:qFormat/>
    <w:uiPriority w:val="0"/>
    <w:rPr>
      <w:rFonts w:ascii="Times New Roman" w:eastAsia="宋体" w:cs="Times New Roman"/>
      <w:color w:val="000000"/>
      <w:spacing w:val="0"/>
      <w:w w:val="100"/>
      <w:sz w:val="21"/>
      <w:u w:val="none" w:color="000000"/>
      <w:vertAlign w:val="baseline"/>
      <w:lang w:val="en-US" w:eastAsia="zh-CN"/>
    </w:rPr>
  </w:style>
  <w:style w:type="character" w:customStyle="1" w:styleId="24">
    <w:name w:val="默认段落字体1"/>
    <w:qFormat/>
    <w:uiPriority w:val="0"/>
    <w:rPr>
      <w:rFonts w:ascii="Times New Roman" w:eastAsia="宋体"/>
      <w:color w:val="000000"/>
      <w:spacing w:val="0"/>
      <w:w w:val="100"/>
      <w:sz w:val="21"/>
      <w:u w:val="none" w:color="000000"/>
      <w:vertAlign w:val="baseline"/>
      <w:lang w:val="en-US" w:eastAsia="zh-CN"/>
    </w:rPr>
  </w:style>
  <w:style w:type="character" w:styleId="25">
    <w:name w:val="annotation reference"/>
    <w:basedOn w:val="22"/>
    <w:qFormat/>
    <w:uiPriority w:val="0"/>
    <w:rPr>
      <w:sz w:val="21"/>
      <w:szCs w:val="21"/>
    </w:rPr>
  </w:style>
  <w:style w:type="character" w:customStyle="1" w:styleId="26">
    <w:name w:val="标题 1 字符"/>
    <w:basedOn w:val="22"/>
    <w:link w:val="3"/>
    <w:qFormat/>
    <w:uiPriority w:val="99"/>
    <w:rPr>
      <w:b/>
      <w:bCs/>
      <w:kern w:val="44"/>
      <w:sz w:val="28"/>
      <w:szCs w:val="44"/>
      <w:lang w:val="zh-CN"/>
    </w:rPr>
  </w:style>
  <w:style w:type="paragraph" w:customStyle="1" w:styleId="2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21"/>
    <w:basedOn w:val="22"/>
    <w:qFormat/>
    <w:uiPriority w:val="0"/>
    <w:rPr>
      <w:rFonts w:hint="eastAsia" w:ascii="微软雅黑" w:hAnsi="微软雅黑" w:eastAsia="微软雅黑" w:cs="微软雅黑"/>
      <w:color w:val="000000"/>
      <w:sz w:val="22"/>
      <w:szCs w:val="22"/>
      <w:u w:val="none"/>
    </w:rPr>
  </w:style>
  <w:style w:type="character" w:customStyle="1" w:styleId="29">
    <w:name w:val="font101"/>
    <w:basedOn w:val="22"/>
    <w:qFormat/>
    <w:uiPriority w:val="0"/>
    <w:rPr>
      <w:rFonts w:ascii="Arial" w:hAnsi="Arial" w:cs="Arial"/>
      <w:color w:val="000000"/>
      <w:sz w:val="22"/>
      <w:szCs w:val="22"/>
      <w:u w:val="none"/>
    </w:rPr>
  </w:style>
  <w:style w:type="paragraph" w:customStyle="1" w:styleId="30">
    <w:name w:val="p0"/>
    <w:basedOn w:val="1"/>
    <w:qFormat/>
    <w:uiPriority w:val="0"/>
    <w:pPr>
      <w:widowControl/>
    </w:pPr>
    <w:rPr>
      <w:kern w:val="0"/>
      <w:szCs w:val="20"/>
    </w:rPr>
  </w:style>
  <w:style w:type="character" w:customStyle="1" w:styleId="31">
    <w:name w:val="批注框文本 字符"/>
    <w:basedOn w:val="22"/>
    <w:link w:val="13"/>
    <w:qFormat/>
    <w:uiPriority w:val="0"/>
    <w:rPr>
      <w:rFonts w:ascii="Calibri" w:hAnsi="Calibri" w:eastAsia="宋体" w:cs="Times New Roman"/>
      <w:kern w:val="2"/>
      <w:sz w:val="18"/>
      <w:szCs w:val="18"/>
    </w:rPr>
  </w:style>
  <w:style w:type="character" w:customStyle="1" w:styleId="32">
    <w:name w:val="页眉 字符"/>
    <w:basedOn w:val="22"/>
    <w:link w:val="1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40253</Words>
  <Characters>44956</Characters>
  <Lines>380</Lines>
  <Paragraphs>107</Paragraphs>
  <TotalTime>45</TotalTime>
  <ScaleCrop>false</ScaleCrop>
  <LinksUpToDate>false</LinksUpToDate>
  <CharactersWithSpaces>47327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2022-06-28T09:28:00Z</dcterms:created>
  <dc:creator>翩翩起舞</dc:creator>
  <cp:lastModifiedBy>hczb</cp:lastModifiedBy>
  <dcterms:modified xsi:type="dcterms:W3CDTF">2022-06-29T03:33:17Z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636652BF7659427FB95D075964B8BA8E</vt:lpwstr>
  </property>
</Properties>
</file>