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54" w:rsidRPr="00FA7B63" w:rsidRDefault="00E86B54" w:rsidP="00E86B54">
      <w:pPr>
        <w:spacing w:line="336" w:lineRule="auto"/>
        <w:ind w:firstLineChars="450" w:firstLine="1440"/>
        <w:rPr>
          <w:rFonts w:ascii="黑体" w:eastAsia="黑体" w:hAnsi="黑体" w:hint="eastAsia"/>
          <w:sz w:val="32"/>
          <w:szCs w:val="32"/>
        </w:rPr>
      </w:pPr>
      <w:r w:rsidRPr="00FA7B63">
        <w:rPr>
          <w:rFonts w:ascii="黑体" w:eastAsia="黑体" w:hAnsi="黑体" w:hint="eastAsia"/>
          <w:sz w:val="32"/>
          <w:szCs w:val="32"/>
        </w:rPr>
        <w:t>附件二:</w:t>
      </w:r>
    </w:p>
    <w:p w:rsidR="00E86B54" w:rsidRPr="00FA7B63" w:rsidRDefault="00E86B54" w:rsidP="00E86B54">
      <w:pPr>
        <w:spacing w:line="336" w:lineRule="auto"/>
        <w:rPr>
          <w:rFonts w:ascii="仿宋_GB2312" w:eastAsia="仿宋_GB2312" w:hAnsi="宋体" w:cs="宋体" w:hint="eastAsia"/>
          <w:kern w:val="0"/>
          <w:sz w:val="32"/>
          <w:szCs w:val="32"/>
        </w:rPr>
      </w:pPr>
    </w:p>
    <w:p w:rsidR="00E86B54" w:rsidRDefault="00E86B54" w:rsidP="00E86B54">
      <w:pPr>
        <w:widowControl/>
        <w:adjustRightInd w:val="0"/>
        <w:snapToGrid w:val="0"/>
        <w:spacing w:line="570" w:lineRule="exact"/>
        <w:jc w:val="center"/>
        <w:rPr>
          <w:rFonts w:ascii="方正小标宋简体" w:eastAsia="方正小标宋简体" w:hAnsi="华文中宋" w:cs="宋体"/>
          <w:bCs/>
          <w:kern w:val="0"/>
          <w:sz w:val="36"/>
          <w:szCs w:val="32"/>
        </w:rPr>
      </w:pPr>
      <w:r w:rsidRPr="00FA7B63">
        <w:rPr>
          <w:rFonts w:ascii="方正小标宋简体" w:eastAsia="方正小标宋简体" w:hAnsi="华文中宋" w:cs="宋体" w:hint="eastAsia"/>
          <w:bCs/>
          <w:kern w:val="0"/>
          <w:sz w:val="36"/>
          <w:szCs w:val="32"/>
        </w:rPr>
        <w:t>北京市高等教育学会技术物资研究分会学术研究课题立项要点及指南</w:t>
      </w:r>
    </w:p>
    <w:p w:rsidR="00E86B54" w:rsidRPr="00FA7B63" w:rsidRDefault="00E86B54" w:rsidP="00E86B54">
      <w:pPr>
        <w:widowControl/>
        <w:adjustRightInd w:val="0"/>
        <w:snapToGrid w:val="0"/>
        <w:spacing w:line="570" w:lineRule="exact"/>
        <w:jc w:val="center"/>
        <w:rPr>
          <w:rFonts w:ascii="方正小标宋简体" w:eastAsia="方正小标宋简体" w:hAnsi="华文中宋" w:cs="宋体" w:hint="eastAsia"/>
          <w:bCs/>
          <w:kern w:val="0"/>
          <w:sz w:val="36"/>
          <w:szCs w:val="32"/>
        </w:rPr>
      </w:pPr>
    </w:p>
    <w:p w:rsidR="00E86B54" w:rsidRPr="003130EB" w:rsidRDefault="00E86B54" w:rsidP="00E86B54">
      <w:pPr>
        <w:widowControl/>
        <w:adjustRightInd w:val="0"/>
        <w:snapToGrid w:val="0"/>
        <w:spacing w:line="570" w:lineRule="exact"/>
        <w:ind w:firstLineChars="200" w:firstLine="640"/>
        <w:rPr>
          <w:rFonts w:ascii="仿宋_GB2312" w:eastAsia="仿宋_GB2312" w:hAnsi="宋体" w:cs="宋体" w:hint="eastAsia"/>
          <w:kern w:val="0"/>
          <w:sz w:val="32"/>
          <w:szCs w:val="32"/>
        </w:rPr>
      </w:pPr>
      <w:r w:rsidRPr="003130EB">
        <w:rPr>
          <w:rFonts w:ascii="仿宋_GB2312" w:eastAsia="仿宋_GB2312" w:hAnsi="宋体" w:cs="宋体" w:hint="eastAsia"/>
          <w:kern w:val="0"/>
          <w:sz w:val="32"/>
          <w:szCs w:val="32"/>
        </w:rPr>
        <w:t>为了全面落实国家和北京市中长期教育改革发展规划纲要的精神，推进高校技术物资及实验室管理理论研究工作，更好服务于学校教学、科研及创新型人才培养，鼓励有组织地推进相关领域的科学研究，提高研究质量，北京市高等教育学会技术物资</w:t>
      </w:r>
      <w:r>
        <w:rPr>
          <w:rFonts w:ascii="仿宋_GB2312" w:eastAsia="仿宋_GB2312" w:hAnsi="宋体" w:cs="宋体" w:hint="eastAsia"/>
          <w:kern w:val="0"/>
          <w:sz w:val="32"/>
          <w:szCs w:val="32"/>
        </w:rPr>
        <w:t>研究分会</w:t>
      </w:r>
      <w:r w:rsidRPr="003130EB">
        <w:rPr>
          <w:rFonts w:ascii="仿宋_GB2312" w:eastAsia="仿宋_GB2312" w:hAnsi="宋体" w:cs="宋体" w:hint="eastAsia"/>
          <w:kern w:val="0"/>
          <w:sz w:val="32"/>
          <w:szCs w:val="32"/>
        </w:rPr>
        <w:t>组织开展2017-2018年学术研究课题申报工作。课题申报者可参照下面所列出的研究领域，并结合各自的研究重点及工作特点，自行设计课题名称和研究内容。</w:t>
      </w:r>
    </w:p>
    <w:p w:rsidR="00E86B54" w:rsidRPr="003130EB" w:rsidRDefault="00E86B54" w:rsidP="00E86B54">
      <w:pPr>
        <w:widowControl/>
        <w:adjustRightInd w:val="0"/>
        <w:snapToGrid w:val="0"/>
        <w:spacing w:line="570" w:lineRule="exact"/>
        <w:ind w:firstLineChars="200" w:firstLine="643"/>
        <w:rPr>
          <w:rFonts w:ascii="仿宋_GB2312" w:eastAsia="仿宋_GB2312" w:hAnsi="宋体" w:cs="宋体" w:hint="eastAsia"/>
          <w:b/>
          <w:kern w:val="0"/>
          <w:sz w:val="32"/>
          <w:szCs w:val="32"/>
        </w:rPr>
      </w:pPr>
      <w:r w:rsidRPr="003130EB">
        <w:rPr>
          <w:rFonts w:ascii="仿宋_GB2312" w:eastAsia="仿宋_GB2312" w:hAnsi="宋体" w:cs="宋体" w:hint="eastAsia"/>
          <w:b/>
          <w:kern w:val="0"/>
          <w:sz w:val="32"/>
          <w:szCs w:val="32"/>
        </w:rPr>
        <w:t>一、技术物资采购管理研究</w:t>
      </w:r>
    </w:p>
    <w:p w:rsidR="00E86B54" w:rsidRPr="003130EB" w:rsidRDefault="00E86B54" w:rsidP="00E86B54">
      <w:pPr>
        <w:adjustRightInd w:val="0"/>
        <w:snapToGrid w:val="0"/>
        <w:spacing w:line="570" w:lineRule="exact"/>
        <w:ind w:firstLineChars="200" w:firstLine="640"/>
        <w:rPr>
          <w:rFonts w:ascii="仿宋_GB2312" w:eastAsia="仿宋_GB2312" w:hAnsi="宋体" w:cs="宋体" w:hint="eastAsia"/>
          <w:kern w:val="0"/>
          <w:sz w:val="32"/>
          <w:szCs w:val="32"/>
        </w:rPr>
      </w:pPr>
      <w:r w:rsidRPr="003130EB">
        <w:rPr>
          <w:rFonts w:ascii="仿宋_GB2312" w:eastAsia="仿宋_GB2312" w:hAnsi="宋体" w:cs="宋体" w:hint="eastAsia"/>
          <w:kern w:val="0"/>
          <w:sz w:val="32"/>
          <w:szCs w:val="32"/>
        </w:rPr>
        <w:t>高校技术物资水平与高校的发展；政府采购法律法规制度研究；政府采购理论及实务研究；高校技术物资供应与服务研究；高校技术物资采购实务与难点问题探析；国内外政府采购制度比较研究；政府采购系统及信息化研究；政府采购监督机制及风险防范研究；科研仪器设备采购等。</w:t>
      </w:r>
    </w:p>
    <w:p w:rsidR="00E86B54" w:rsidRPr="003130EB" w:rsidRDefault="00E86B54" w:rsidP="00E86B54">
      <w:pPr>
        <w:widowControl/>
        <w:adjustRightInd w:val="0"/>
        <w:snapToGrid w:val="0"/>
        <w:spacing w:line="570" w:lineRule="exact"/>
        <w:ind w:firstLineChars="200" w:firstLine="643"/>
        <w:rPr>
          <w:rFonts w:ascii="仿宋_GB2312" w:eastAsia="仿宋_GB2312" w:hAnsi="宋体" w:cs="宋体" w:hint="eastAsia"/>
          <w:b/>
          <w:kern w:val="0"/>
          <w:sz w:val="32"/>
          <w:szCs w:val="32"/>
        </w:rPr>
      </w:pPr>
      <w:r w:rsidRPr="003130EB">
        <w:rPr>
          <w:rFonts w:ascii="仿宋_GB2312" w:eastAsia="仿宋_GB2312" w:hAnsi="宋体" w:cs="宋体" w:hint="eastAsia"/>
          <w:b/>
          <w:kern w:val="0"/>
          <w:sz w:val="32"/>
          <w:szCs w:val="32"/>
        </w:rPr>
        <w:t>二、资产管理研究</w:t>
      </w:r>
    </w:p>
    <w:p w:rsidR="00E86B54" w:rsidRPr="003130EB" w:rsidRDefault="00E86B54" w:rsidP="00E86B54">
      <w:pPr>
        <w:adjustRightInd w:val="0"/>
        <w:snapToGrid w:val="0"/>
        <w:spacing w:line="570" w:lineRule="exact"/>
        <w:ind w:firstLineChars="200" w:firstLine="640"/>
        <w:rPr>
          <w:rFonts w:ascii="仿宋_GB2312" w:eastAsia="仿宋_GB2312" w:hAnsi="宋体" w:cs="宋体" w:hint="eastAsia"/>
          <w:kern w:val="0"/>
          <w:sz w:val="32"/>
          <w:szCs w:val="32"/>
        </w:rPr>
      </w:pPr>
      <w:r w:rsidRPr="003130EB">
        <w:rPr>
          <w:rFonts w:ascii="仿宋_GB2312" w:eastAsia="仿宋_GB2312" w:hAnsi="宋体" w:cs="宋体" w:hint="eastAsia"/>
          <w:kern w:val="0"/>
          <w:sz w:val="32"/>
          <w:szCs w:val="32"/>
        </w:rPr>
        <w:t>大型仪器设备开放共享机制、措施及效益研究；高校资产管理系统及信息化建设与实践；国有资产管理管理理念、体系及标准化研究；固定资产管理系统建设和发展趋势；高校国有资产管理理论与实务研究；国有资产管理难点、重点研究；高等学校国有资产管理组织架构研究；高校国有资产管理典型案例研究；高等学校国有资产管理财务效应性问题研究；高校公有房管理及制</w:t>
      </w:r>
      <w:r w:rsidRPr="003130EB">
        <w:rPr>
          <w:rFonts w:ascii="仿宋_GB2312" w:eastAsia="仿宋_GB2312" w:hAnsi="宋体" w:cs="宋体" w:hint="eastAsia"/>
          <w:kern w:val="0"/>
          <w:sz w:val="32"/>
          <w:szCs w:val="32"/>
        </w:rPr>
        <w:lastRenderedPageBreak/>
        <w:t>度研究；提高公有房使用效益的体制与机制研究；高校公有房管理系统建设；高校公有房使用的核心价值体系研究等；高校无形资产管理；品牌资产管理研究等。</w:t>
      </w:r>
    </w:p>
    <w:p w:rsidR="00E86B54" w:rsidRPr="003130EB" w:rsidRDefault="00E86B54" w:rsidP="00E86B54">
      <w:pPr>
        <w:widowControl/>
        <w:adjustRightInd w:val="0"/>
        <w:snapToGrid w:val="0"/>
        <w:spacing w:line="570" w:lineRule="exact"/>
        <w:ind w:firstLineChars="200" w:firstLine="643"/>
        <w:rPr>
          <w:rFonts w:ascii="仿宋_GB2312" w:eastAsia="仿宋_GB2312" w:hAnsi="宋体" w:cs="宋体" w:hint="eastAsia"/>
          <w:b/>
          <w:kern w:val="0"/>
          <w:sz w:val="32"/>
          <w:szCs w:val="32"/>
        </w:rPr>
      </w:pPr>
      <w:r w:rsidRPr="003130EB">
        <w:rPr>
          <w:rFonts w:ascii="仿宋_GB2312" w:eastAsia="仿宋_GB2312" w:hAnsi="宋体" w:cs="宋体" w:hint="eastAsia"/>
          <w:b/>
          <w:kern w:val="0"/>
          <w:sz w:val="32"/>
          <w:szCs w:val="32"/>
        </w:rPr>
        <w:t>三、实验室建设、管理及创新人才培养研究</w:t>
      </w:r>
    </w:p>
    <w:p w:rsidR="00E86B54" w:rsidRPr="003130EB" w:rsidRDefault="00E86B54" w:rsidP="00E86B54">
      <w:pPr>
        <w:adjustRightInd w:val="0"/>
        <w:snapToGrid w:val="0"/>
        <w:spacing w:line="570" w:lineRule="exact"/>
        <w:ind w:firstLineChars="200" w:firstLine="640"/>
        <w:rPr>
          <w:rFonts w:ascii="仿宋_GB2312" w:eastAsia="仿宋_GB2312" w:hAnsi="仿宋" w:cs="Arial" w:hint="eastAsia"/>
          <w:color w:val="FF0000"/>
          <w:sz w:val="32"/>
          <w:szCs w:val="32"/>
        </w:rPr>
      </w:pPr>
      <w:r w:rsidRPr="003130EB">
        <w:rPr>
          <w:rFonts w:ascii="仿宋_GB2312" w:eastAsia="仿宋_GB2312" w:hAnsi="宋体" w:cs="宋体" w:hint="eastAsia"/>
          <w:kern w:val="0"/>
          <w:sz w:val="32"/>
          <w:szCs w:val="32"/>
        </w:rPr>
        <w:t>实验室建设与提升创新人才培养水平研究；实验室对创新人才培养作用研究；实验教学示范中心及国家级虚拟仿真中心建设研究；实践教学综合改革及实践创新能力培养研究；校企共建、校际联合的实验室建设模式研究；实验室建设及评价标准体系研究；实验室工作规程研究；高校实验室安全标准与环境保护规范化管理研究；高校实验室建设与效益发挥研究；实验室建设与管理模式的改革与创新；高校实验室开放创新体系研究；实验室队伍建设与管理；校内外实践创新基地建设及创新人才培养研究；</w:t>
      </w:r>
      <w:r w:rsidRPr="00812A53">
        <w:rPr>
          <w:rFonts w:ascii="仿宋_GB2312" w:eastAsia="仿宋_GB2312" w:hAnsi="仿宋" w:cs="Arial" w:hint="eastAsia"/>
          <w:color w:val="000000"/>
          <w:sz w:val="32"/>
          <w:szCs w:val="32"/>
        </w:rPr>
        <w:t>实验室管理信息化实践；“双一流”和高校实验室建设机遇与挑战</w:t>
      </w:r>
      <w:r w:rsidRPr="003130EB">
        <w:rPr>
          <w:rFonts w:ascii="仿宋_GB2312" w:eastAsia="仿宋_GB2312" w:hAnsi="宋体" w:cs="宋体" w:hint="eastAsia"/>
          <w:kern w:val="0"/>
          <w:sz w:val="32"/>
          <w:szCs w:val="32"/>
        </w:rPr>
        <w:t>等。</w:t>
      </w:r>
    </w:p>
    <w:p w:rsidR="00E86B54" w:rsidRPr="003130EB" w:rsidRDefault="00E86B54" w:rsidP="00E86B54">
      <w:pPr>
        <w:widowControl/>
        <w:adjustRightInd w:val="0"/>
        <w:snapToGrid w:val="0"/>
        <w:spacing w:line="570" w:lineRule="exact"/>
        <w:ind w:firstLineChars="200" w:firstLine="643"/>
        <w:rPr>
          <w:rFonts w:ascii="仿宋_GB2312" w:eastAsia="仿宋_GB2312" w:hAnsi="宋体" w:cs="宋体" w:hint="eastAsia"/>
          <w:b/>
          <w:kern w:val="0"/>
          <w:sz w:val="32"/>
          <w:szCs w:val="32"/>
        </w:rPr>
      </w:pPr>
      <w:r w:rsidRPr="003130EB">
        <w:rPr>
          <w:rFonts w:ascii="仿宋_GB2312" w:eastAsia="仿宋_GB2312" w:hAnsi="宋体" w:cs="宋体" w:hint="eastAsia"/>
          <w:b/>
          <w:kern w:val="0"/>
          <w:sz w:val="32"/>
          <w:szCs w:val="32"/>
        </w:rPr>
        <w:t>四、资源共享研究</w:t>
      </w:r>
    </w:p>
    <w:p w:rsidR="00E86B54" w:rsidRPr="00B67480" w:rsidRDefault="00E86B54" w:rsidP="00E86B54">
      <w:pPr>
        <w:widowControl/>
        <w:adjustRightInd w:val="0"/>
        <w:snapToGrid w:val="0"/>
        <w:spacing w:line="570" w:lineRule="exact"/>
        <w:ind w:firstLineChars="200" w:firstLine="640"/>
        <w:rPr>
          <w:rFonts w:hint="eastAsia"/>
        </w:rPr>
      </w:pPr>
      <w:r w:rsidRPr="003130EB">
        <w:rPr>
          <w:rFonts w:ascii="仿宋_GB2312" w:eastAsia="仿宋_GB2312" w:hAnsi="宋体" w:cs="宋体" w:hint="eastAsia"/>
          <w:kern w:val="0"/>
          <w:sz w:val="32"/>
          <w:szCs w:val="32"/>
        </w:rPr>
        <w:t>高校资源共享平台建设；高校优质资源共享机理研究；高校大型仪器设备示范机组建设及平台功能研究；校校联合、校企联合共建资源模式研究；新形势下优质实验教学资源的管理体制以及优化配置、开放共享等模式；以“合作、共享、共建”为主题的优质资源共享机制；地区优质资源有偿服务模式研究等。</w:t>
      </w:r>
    </w:p>
    <w:p w:rsidR="00E86B54" w:rsidRPr="00FA63BF" w:rsidRDefault="00E86B54" w:rsidP="00E86B54">
      <w:pPr>
        <w:widowControl/>
        <w:adjustRightInd w:val="0"/>
        <w:snapToGrid w:val="0"/>
        <w:spacing w:line="570" w:lineRule="exact"/>
        <w:rPr>
          <w:rFonts w:ascii="仿宋_GB2312" w:eastAsia="仿宋_GB2312" w:hAnsi="宋体" w:cs="宋体"/>
          <w:kern w:val="0"/>
          <w:sz w:val="32"/>
          <w:szCs w:val="32"/>
        </w:rPr>
      </w:pPr>
    </w:p>
    <w:p w:rsidR="00E86B54" w:rsidRPr="003130EB" w:rsidRDefault="00E86B54" w:rsidP="00E86B54">
      <w:pPr>
        <w:widowControl/>
        <w:adjustRightInd w:val="0"/>
        <w:snapToGrid w:val="0"/>
        <w:spacing w:line="570" w:lineRule="exact"/>
        <w:ind w:firstLineChars="200" w:firstLine="640"/>
        <w:rPr>
          <w:rFonts w:ascii="仿宋_GB2312" w:eastAsia="仿宋_GB2312" w:hAnsi="宋体" w:cs="宋体" w:hint="eastAsia"/>
          <w:kern w:val="0"/>
          <w:sz w:val="32"/>
          <w:szCs w:val="32"/>
        </w:rPr>
      </w:pPr>
    </w:p>
    <w:p w:rsidR="0018343A" w:rsidRPr="00E86B54" w:rsidRDefault="0018343A"/>
    <w:sectPr w:rsidR="0018343A" w:rsidRPr="00E86B54" w:rsidSect="00053A28">
      <w:footerReference w:type="even" r:id="rId4"/>
      <w:footerReference w:type="default" r:id="rId5"/>
      <w:pgSz w:w="11906" w:h="16838"/>
      <w:pgMar w:top="851" w:right="1418" w:bottom="85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8D" w:rsidRDefault="00E86B54" w:rsidP="009C6E0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95C8D" w:rsidRDefault="00E86B54" w:rsidP="005518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8D" w:rsidRDefault="00E86B54" w:rsidP="005D19DD">
    <w:pPr>
      <w:pStyle w:val="a3"/>
      <w:jc w:val="center"/>
      <w:rPr>
        <w:rFonts w:hint="eastAsia"/>
      </w:rPr>
    </w:pPr>
    <w:r>
      <w:fldChar w:fldCharType="begin"/>
    </w:r>
    <w:r>
      <w:instrText xml:space="preserve">PAGE </w:instrText>
    </w:r>
    <w:r>
      <w:instrText xml:space="preserve">  \* MERGEFORMAT</w:instrText>
    </w:r>
    <w:r>
      <w:fldChar w:fldCharType="separate"/>
    </w:r>
    <w:r w:rsidRPr="00E86B54">
      <w:rPr>
        <w:noProof/>
        <w:lang w:val="zh-CN"/>
      </w:rPr>
      <w:t>2</w:t>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6B54"/>
    <w:rsid w:val="0018343A"/>
    <w:rsid w:val="005967AF"/>
    <w:rsid w:val="006C0FBE"/>
    <w:rsid w:val="00E86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86B54"/>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E86B54"/>
    <w:rPr>
      <w:rFonts w:ascii="Times New Roman" w:eastAsia="宋体" w:hAnsi="Times New Roman" w:cs="Times New Roman"/>
      <w:sz w:val="18"/>
      <w:szCs w:val="18"/>
      <w:lang/>
    </w:rPr>
  </w:style>
  <w:style w:type="character" w:styleId="a4">
    <w:name w:val="page number"/>
    <w:basedOn w:val="a0"/>
    <w:rsid w:val="00E86B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李福顺</dc:creator>
  <cp:lastModifiedBy>李福顺</cp:lastModifiedBy>
  <cp:revision>1</cp:revision>
  <dcterms:created xsi:type="dcterms:W3CDTF">2017-05-11T00:59:00Z</dcterms:created>
  <dcterms:modified xsi:type="dcterms:W3CDTF">2017-05-11T01:00:00Z</dcterms:modified>
</cp:coreProperties>
</file>